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3"/>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1881505</wp:posOffset>
                </wp:positionV>
                <wp:extent cx="6121400" cy="0"/>
                <wp:effectExtent l="0" t="0" r="0" b="0"/>
                <wp:wrapNone/>
                <wp:docPr id="14" name="Line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2" o:spid="_x0000_s1026" o:spt="20" style="position:absolute;left:0pt;margin-left:0pt;margin-top:148.15pt;height:0pt;width:482pt;z-index:251666432;mso-width-relative:page;mso-height-relative:page;" filled="f" stroked="t" coordsize="21600,21600" o:gfxdata="UEsDBAoAAAAAAIdO4kAAAAAAAAAAAAAAAAAEAAAAZHJzL1BLAwQUAAAACACHTuJA5mLvitcAAAAI&#10;AQAADwAAAGRycy9kb3ducmV2LnhtbE2PQU/CQBCF7yb8h82QeDGyBaVI7ZbERi7eAEM4Lt2xrXZn&#10;N90toL/eMTHR47z38uZ7+epiO3HCPrSOFEwnCQikypmWagWvu/XtA4gQNRndOUIFnxhgVYyucp0Z&#10;d6YNnraxFlxCIdMKmhh9JmWoGrQ6TJxHYu/N9VZHPvtaml6fudx2cpYkqbS6Jf7QaI9lg9XHdrAK&#10;3m/2w9qSLxf1y/PXYj5syoN/Uup6PE0eQUS8xL8w/OAzOhTMdHQDmSA6BTwkKpgt0zsQbC/Te1aO&#10;v4oscvl/QPENUEsDBBQAAAAIAIdO4kCMJCOeyQEAAKIDAAAOAAAAZHJzL2Uyb0RvYy54bWytU8uO&#10;2zAMvBfoPwi6N35gsV0YcfaQYHtJ2wC7/QBFlm2hkihQSuz8fSnl0Ta97KE+CKJIDjlDevk8W8OO&#10;CoMG1/JqUXKmnIROu6HlP95ePj1xFqJwnTDgVMtPKvDn1ccPy8k3qoYRTKeQEYgLzeRbPsbom6II&#10;clRWhAV45cjZA1oRycSh6FBMhG5NUZflYzEBdh5BqhDodXN28gsivgcQ+l5LtQF5sMrFMyoqIyJR&#10;CqP2ga9yt32vZPze90FFZlpOTGM+qQjd9+ksVkvRDCj8qOWlBfGeFu44WaEdFb1BbUQU7ID6Hyir&#10;JUKAPi4k2OJMJCtCLKryTpvXUXiVuZDUwd9ED/8PVn477pDpjjbhgTMnLE18q51iVZ20mXxoKGTt&#10;dpjYydm9+i3In4E5WI/CDSr3+HbylFeljOKvlGQETxX201foKEYcImSh5h5tgiQJ2JzncbrNQ82R&#10;SXp8rOrqoaRRyauvEM010WOIXxRYli4tN9R0BhbHbYipEdFcQ1IdBy/amDxu49hE3dafCTq5Ahjd&#10;JW82cNivDbKjSBvzVNKXad2FIRxcd65i3IV1InqWbA/daYdXNWh0uZ3LmqXd+NPO2b9/rd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mLvitcAAAAIAQAADwAAAAAAAAABACAAAAAiAAAAZHJzL2Rv&#10;d25yZXYueG1sUEsBAhQAFAAAAAgAh07iQIwkI57JAQAAogMAAA4AAAAAAAAAAQAgAAAAJgEAAGRy&#10;cy9lMm9Eb2MueG1sUEsFBgAAAAAGAAYAWQEAAGE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8518525</wp:posOffset>
                </wp:positionV>
                <wp:extent cx="6121400" cy="0"/>
                <wp:effectExtent l="0" t="0" r="0" b="0"/>
                <wp:wrapNone/>
                <wp:docPr id="13" name="Line 1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3" o:spid="_x0000_s1026" o:spt="20" style="position:absolute;left:0pt;margin-left:0pt;margin-top:670.75pt;height:0pt;width:482pt;z-index:251667456;mso-width-relative:page;mso-height-relative:page;" filled="f" stroked="t" coordsize="21600,21600" o:gfxdata="UEsDBAoAAAAAAIdO4kAAAAAAAAAAAAAAAAAEAAAAZHJzL1BLAwQUAAAACACHTuJAhsmB3tcAAAAK&#10;AQAADwAAAGRycy9kb3ducmV2LnhtbE2PzU7DMBCE70i8g7VIXBB1Av2BNE4lInrh1oKqHt14mwTi&#10;tRU7benTdzkgOO43o9mZfHGynThgH1pHCtJRAgKpcqalWsHH+/L+CUSImozuHKGCbwywKK6vcp0Z&#10;d6QVHtaxFhxCIdMKmhh9JmWoGrQ6jJxHYm3veqsjn30tTa+PHG47+ZAkU2l1S/yh0R7LBquv9WAV&#10;fN5thqUlX87qt9fzbDKsyq1/Uer2Jk3mICKe4p8ZfupzdSi4084NZILoFPCQyPRxnE5AsP48HTPa&#10;/SJZ5PL/hOICUEsDBBQAAAAIAIdO4kA0fw3YyQEAAKIDAAAOAAAAZHJzL2Uyb0RvYy54bWytU7GO&#10;2zAM3Qv0HwTtje20uB6MODckuC5pG+CuH8DIsi1UEgVJiZ2/LyUnaZsuN9SDIIrkI98jvXqajGYn&#10;6YNC2/BqUXImrcBW2b7hP16fPzxyFiLYFjRa2fCzDPxp/f7danS1XOKAupWeEYgN9egaPsTo6qII&#10;YpAGwgKdtOTs0BuIZPq+aD2MhG50sSzLh2JE3zqPQoZAr9vZyS+I/i2A2HVKyC2Ko5E2zqheaohE&#10;KQzKBb7O3XadFPF71wUZmW44MY35pCJ0P6SzWK+g7j24QYlLC/CWFu44GVCWit6gthCBHb36B8oo&#10;4TFgFxcCTTETyYoQi6q80+ZlACczF5I6uJvo4f/Bim+nvWeqpU34yJkFQxPfKSsZmaTN6EJNIRu7&#10;94mdmOyL26H4GZjFzQC2l7nH17OjvCplFH+lJCM4qnAYv2JLMXCMmIWaOm8SJEnApjyP820ecopM&#10;0ONDtaw+lTQqcfUVUF8TnQ/xi0TD0qXhmprOwHDahZgagfoakupYfFZa53Fry0bqdvmZoJMroFZt&#10;8mbD94eN9uwEaWMeS/oyrbswj0fbzlW0vbBORGfJDtie9/6qBo0ut3NZs7Qbf9o5+/evt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smB3tcAAAAKAQAADwAAAAAAAAABACAAAAAiAAAAZHJzL2Rv&#10;d25yZXYueG1sUEsBAhQAFAAAAAgAh07iQDR/DdjJAQAAogMAAA4AAAAAAAAAAQAgAAAAJgEAAGRy&#10;cy9lMm9Eb2MueG1sUEsFBgAAAAAGAAYAWQEAAGE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2549525</wp:posOffset>
                </wp:positionH>
                <wp:positionV relativeFrom="margin">
                  <wp:posOffset>107315</wp:posOffset>
                </wp:positionV>
                <wp:extent cx="3175000" cy="720090"/>
                <wp:effectExtent l="0" t="0" r="0" b="0"/>
                <wp:wrapNone/>
                <wp:docPr id="12"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83"/>
                            </w:pPr>
                            <w:r>
                              <w:t>QB</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8480;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w/9B4A4CAAAsBAAADgAAAGRycy9lMm9Eb2MueG1srVPB&#10;jtMwEL0j8Q+W7zRpEewSNV0trYqQFhZp4QMcx2ksbI8Zu03K1zN22rIqlz2QQzS2Z57nvXle3o3W&#10;sIPCoMHVfD4rOVNOQqvdruY/vm/f3HIWonCtMOBUzY8q8LvV61fLwVdqAT2YViEjEBeqwde8j9FX&#10;RRFkr6wIM/DK0WEHaEWkJe6KFsVA6NYUi7J8XwyArUeQKgTa3UyH/ISILwGErtNSbUDurXJxQkVl&#10;RCRKodc+8FXutuuUjI9dF1RkpubENOY/XUJxk/7FaimqHQrfa3lqQbykhStOVmhHl16gNiIKtkf9&#10;D5TVEiFAF2cSbDERyYoQi3l5pc1TL7zKXEjq4C+ih/8HK78eviHTLTlhwZkTlibe2S1ScJvEGXyo&#10;KOfJU1YcP8JIiZlo8A8gfwbmYN0Lt1P3iDD0SrTU3DxVFs9KJ5yQQJrhC7R0idhHyEBjhzYpR1ow&#10;QqfBHC+DUWNkkjbfzm/elSUdSTq7IRd9yJMrRHWu9hjiJwWWpaDmSIPP6OLwEGLqRlTnlHRZAKPb&#10;rTYmL3DXrA2ygyCTbPOXCVylGZeSHaSyCTHtZJqJ2cQxjs14kq2B9kiEESbT0ZOjoAf8zdlAhqt5&#10;+LUXqDgznx2Jltx5DvAcNOdAOEmlNY+cTeE6Ti7ee9S7npCnsTi4J2E7nTmnCUxdnPokE2UpToZP&#10;Ln2+zll/H/n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ZOzzYAAAACgEAAA8AAAAAAAAAAQAg&#10;AAAAIgAAAGRycy9kb3ducmV2LnhtbFBLAQIUABQAAAAIAIdO4kDD/0HgDgIAACwEAAAOAAAAAAAA&#10;AAEAIAAAACcBAABkcnMvZTJvRG9jLnhtbFBLBQYAAAAABgAGAFkBAACnBQAAAAA=&#10;">
                <v:fill on="t" focussize="0,0"/>
                <v:stroke on="f"/>
                <v:imagedata o:title=""/>
                <o:lock v:ext="edit" aspectratio="f"/>
                <v:textbox inset="0mm,0mm,0mm,0mm">
                  <w:txbxContent>
                    <w:p>
                      <w:pPr>
                        <w:pStyle w:val="83"/>
                      </w:pPr>
                      <w:r>
                        <w:t>QB</w:t>
                      </w: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401320"/>
                <wp:effectExtent l="0" t="0" r="0" b="0"/>
                <wp:wrapNone/>
                <wp:docPr id="11"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401320"/>
                        </a:xfrm>
                        <a:prstGeom prst="rect">
                          <a:avLst/>
                        </a:prstGeom>
                        <a:solidFill>
                          <a:srgbClr val="FFFFFF"/>
                        </a:solidFill>
                        <a:ln>
                          <a:noFill/>
                        </a:ln>
                      </wps:spPr>
                      <wps:txbx>
                        <w:txbxContent>
                          <w:p>
                            <w:pPr>
                              <w:pStyle w:val="124"/>
                              <w:spacing w:before="156" w:after="156"/>
                            </w:pPr>
                            <w:r>
                              <w:rPr>
                                <w:rFonts w:hint="eastAsia"/>
                              </w:rPr>
                              <w:t>中华人民共和国工业和信息化部</w:t>
                            </w:r>
                            <w:r>
                              <w:rPr>
                                <w:rStyle w:val="38"/>
                                <w:rFonts w:hint="eastAsia"/>
                              </w:rPr>
                              <w:t xml:space="preserve"> 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31.6pt;width:481.9pt;mso-position-horizontal-relative:margin;mso-position-vertical-relative:margin;z-index:251665408;mso-width-relative:page;mso-height-relative:page;" fillcolor="#FFFFFF" filled="t" stroked="f" coordsize="21600,21600" o:gfxdata="UEsDBAoAAAAAAIdO4kAAAAAAAAAAAAAAAAAEAAAAZHJzL1BLAwQUAAAACACHTuJAXMslb9gAAAAK&#10;AQAADwAAAGRycy9kb3ducmV2LnhtbE2PwW7CMBBE75X6D9ZW6qUCB4hSSOMgFdpbe4AizibeJlHj&#10;dWQ7BP6+y6k97sxodl6xvthOnNGH1pGC2TQBgVQ501Kt4PD1PlmCCFGT0Z0jVHDFAOvy/q7QuXEj&#10;7fC8j7XgEgq5VtDE2OdShqpBq8PU9UjsfTtvdeTT19J4PXK57eQ8STJpdUv8odE9bhqsfvaDVZBt&#10;/TDuaPO0Pbx96M++nh9fr0elHh9myQuIiJf4F4bbfJ4OJW86uYFMEJ0CBomspos0BcH+Klswyukm&#10;rZ4zkGUh/yOUv1BLAwQUAAAACACHTuJAtjOjGQ0CAAAsBAAADgAAAGRycy9lMm9Eb2MueG1srVPB&#10;jtMwEL0j8Q+W7zRtQQuKmq6WVkVIC6y08AGO4yTW2h4zdpuUr2fstGVVLnvYHKKxPfM8783z6na0&#10;hh0UBg2u4ovZnDPlJDTadRX/9XP37hNnIQrXCANOVfyoAr9dv32zGnypltCDaRQyAnGhHHzF+xh9&#10;WRRB9sqKMAOvHB22gFZEWmJXNCgGQremWM7nN8UA2HgEqUKg3e10yE+I+BJAaFst1Rbk3ioXJ1RU&#10;RkSiFHrtA1/nbttWyfijbYOKzFScmMb8p0sortO/WK9E2aHwvZanFsRLWrjiZIV2dOkFaiuiYHvU&#10;/0FZLRECtHEmwRYTkawIsVjMr7R57IVXmQtJHfxF9PB6sPL74QGZbsgJC86csDTx1u6Qgo9JnMGH&#10;knIePWXF8TOMlJiJBn8P8ikwB5teuE7dIcLQK9FQc4tUWTwrnXBCAqmHb9DQJWIfIQONLdqkHGnB&#10;CJ0Gc7wMRo2RSdq8WZA67+lI0tkHCpd5coUoz9UeQ/yiwLIUVBxp8BldHO5DTN2I8pySLgtgdLPT&#10;xuQFdvXGIDsIMskuf5nAVZpxKdlBKpsQ006mmZhNHONYjyfZamiORBhhMh09OQp6wD+cDWS4ioff&#10;e4GKM/PVkWjJnecAz0F9DoSTVFrxyNkUbuLk4r1H3fWEPI3FwR0J2+rMOU1g6uLUJ5koS3EyfHLp&#10;83XO+vfI1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Mslb9gAAAAKAQAADwAAAAAAAAABACAA&#10;AAAiAAAAZHJzL2Rvd25yZXYueG1sUEsBAhQAFAAAAAgAh07iQLYzoxkNAgAALAQAAA4AAAAAAAAA&#10;AQAgAAAAJwEAAGRycy9lMm9Eb2MueG1sUEsFBgAAAAAGAAYAWQEAAKYFAAAAAA==&#10;">
                <v:fill on="t" focussize="0,0"/>
                <v:stroke on="f"/>
                <v:imagedata o:title=""/>
                <o:lock v:ext="edit" aspectratio="f"/>
                <v:textbox inset="0mm,0mm,0mm,0mm">
                  <w:txbxContent>
                    <w:p>
                      <w:pPr>
                        <w:pStyle w:val="124"/>
                        <w:spacing w:before="156" w:after="156"/>
                      </w:pPr>
                      <w:r>
                        <w:rPr>
                          <w:rFonts w:hint="eastAsia"/>
                        </w:rPr>
                        <w:t>中华人民共和国工业和信息化部</w:t>
                      </w:r>
                      <w:r>
                        <w:rPr>
                          <w:rStyle w:val="38"/>
                          <w:rFonts w:hint="eastAsia"/>
                        </w:rPr>
                        <w:t xml:space="preserve"> 发布</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0"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32"/>
                            </w:pPr>
                            <w:r>
                              <w:rPr>
                                <w:rFonts w:hint="eastAsia"/>
                              </w:rPr>
                              <w:t>xxxx-xx-xx实施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G7EwLDgIAACwEAAAOAAAAZHJzL2Uyb0RvYy54bWyt&#10;U01v2zAMvQ/YfxB0X5ykQ7EZcYouQYYB3QfQ7QfIsmwLk0SNUmJnv36UnGRFeumhPhiUSD7yPVKr&#10;u9EadlAYNLiKL2ZzzpST0GjXVfzXz927D5yFKFwjDDhV8aMK/G799s1q8KVaQg+mUcgIxIVy8BXv&#10;Y/RlUQTZKyvCDLxy5GwBrYh0xK5oUAyEbk2xnM9viwGw8QhShUC328nJT4j4EkBoWy3VFuTeKhcn&#10;VFRGRKIUeu0DX+du21bJ+L1tg4rMVJyYxvynImTX6V+sV6LsUPhey1ML4iUtXHGyQjsqeoHaiijY&#10;HvUzKKslQoA2ziTYYiKSFSEWi/mVNo+98CpzIamDv4geXg9Wfjv8QKYb2gSSxAlLE2/tDsm4TeIM&#10;PpQU8+gpKo6fYKTATDT4B5C/A3Ow6YXr1D0iDL0SDTW3SJnFk9QJJySQevgKDRUR+wgZaGzRJuVI&#10;C0bo1MXxMhg1RibpkrT5eDMnlyTfzWL5fpknV4jynO0xxM8KLEtGxZEGn9HF4SHE1I0ozyGpWACj&#10;m502Jh+wqzcG2UHQkuzylwlchRmXgh2ktAkx3WSaidnEMY71eJKthuZIhBGmpaMnR0YP+JezgRau&#10;4uHPXqDizHxxJBqxi2cDz0Z9NoSTlFrxyNlkbuK0xXuPuusJeRqLg3sSttWZc5rA1MWpT1qiLMVp&#10;4dOWPj3nqP+P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EbsTAsOAgAALAQAAA4AAAAA&#10;AAAAAQAgAAAAKQEAAGRycy9lMm9Eb2MueG1sUEsFBgAAAAAGAAYAWQEAAKkFAAAAAA==&#10;">
                <v:fill on="t" focussize="0,0"/>
                <v:stroke on="f"/>
                <v:imagedata o:title=""/>
                <o:lock v:ext="edit" aspectratio="f"/>
                <v:textbox inset="0mm,0mm,0mm,0mm">
                  <w:txbxContent>
                    <w:p>
                      <w:pPr>
                        <w:pStyle w:val="132"/>
                      </w:pPr>
                      <w:r>
                        <w:rPr>
                          <w:rFonts w:hint="eastAsia"/>
                        </w:rPr>
                        <w:t>xxxx-xx-xx实施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9"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0"/>
                              <w:ind w:firstLine="420"/>
                            </w:pPr>
                            <w:r>
                              <w:rPr>
                                <w:rFonts w:hint="eastAsia"/>
                              </w:rPr>
                              <w:t>xxxx-xx-xx发布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zCwnJg4CAAArBAAADgAAAGRycy9lMm9Eb2MueG1srVPB&#10;jtMwEL0j8Q+W7zRtFxAbNV0trYqQFhZp4QMcx0ksbI8Zu03K1zN22rIqlz2QQzS2Z57nvXle3Y3W&#10;sIPCoMFVfDGbc6achEa7ruI/vu/efOAsROEaYcCpih9V4Hfr169Wgy/VEnowjUJGIC6Ug694H6Mv&#10;iyLIXlkRZuCVo8MW0IpIS+yKBsVA6NYUy/n8fTEANh5BqhBodzsd8hMivgQQ2lZLtQW5t8rFCRWV&#10;EZEohV77wNe527ZVMj62bVCRmYoT05j/dAnFdfoX65UoOxS+1/LUgnhJC1ecrNCOLr1AbUUUbI/6&#10;HyirJUKANs4k2GIikhUhFov5lTZPvfAqcyGpg7+IHv4frPx6+IZMNxW/5cwJSwNv7Q4peJe0GXwo&#10;KeXJU1IcP8JIjsk8g38A+TMwB5teuE7dI8LQK9FQb4tUWTwrnXBCAqmHL9DQJWIfIQONLdokHEnB&#10;CJ3mcrzMRY2RSdokaW5v5nQk6exmsXy7zIMrRHmu9hjiJwWWpaDiSHPP6OLwEGLqRpTnlHRZAKOb&#10;nTYmL7CrNwbZQZBHdvnLBK7SjEvJDlLZhJh2Ms3EbOIYx3o8yVZDcyTCCJPn6MVR0AP+5mwgv1U8&#10;/NoLVJyZz45ES+Y8B3gO6nMgnKTSikfOpnATJxPvPequJ+RpLA7uSdhWZ85pAlMXpz7JQ1mKk9+T&#10;SZ+v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DMLCcmDgIAACsEAAAOAAAAAAAA&#10;AAEAIAAAACcBAABkcnMvZTJvRG9jLnhtbFBLBQYAAAAABgAGAFkBAACnBQAAAAA=&#10;">
                <v:fill on="t" focussize="0,0"/>
                <v:stroke on="f"/>
                <v:imagedata o:title=""/>
                <o:lock v:ext="edit" aspectratio="f"/>
                <v:textbox inset="0mm,0mm,0mm,0mm">
                  <w:txbxContent>
                    <w:p>
                      <w:pPr>
                        <w:pStyle w:val="90"/>
                        <w:ind w:firstLine="420"/>
                      </w:pPr>
                      <w:r>
                        <w:rPr>
                          <w:rFonts w:hint="eastAsia"/>
                        </w:rPr>
                        <w:t>xxxx-xx-xx发布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8"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65"/>
                              <w:rPr>
                                <w:rFonts w:hint="default" w:eastAsia="黑体"/>
                                <w:lang w:val="en-US" w:eastAsia="zh-CN"/>
                              </w:rPr>
                            </w:pPr>
                            <w:r>
                              <w:rPr>
                                <w:rFonts w:hint="eastAsia"/>
                                <w:lang w:val="en-US" w:eastAsia="zh-CN"/>
                              </w:rPr>
                              <w:t>氨基酸表面活性剂  谷氨酸型</w:t>
                            </w:r>
                          </w:p>
                          <w:p>
                            <w:pPr>
                              <w:pStyle w:val="64"/>
                              <w:rPr>
                                <w:rFonts w:hint="default" w:eastAsia="黑体"/>
                                <w:lang w:val="en-US" w:eastAsia="zh-CN"/>
                              </w:rPr>
                            </w:pPr>
                            <w:r>
                              <w:rPr>
                                <w:rFonts w:hint="eastAsia"/>
                                <w:lang w:val="en-US" w:eastAsia="zh-CN"/>
                              </w:rPr>
                              <w:t>Amino Acid Surfactant  Glutamicacid type</w:t>
                            </w:r>
                          </w:p>
                          <w:p>
                            <w:pPr>
                              <w:pStyle w:val="63"/>
                            </w:pPr>
                            <w:r>
                              <w:rPr>
                                <w:rFonts w:hint="eastAsia"/>
                              </w:rPr>
                              <w:t>（</w:t>
                            </w:r>
                            <w:r>
                              <w:rPr>
                                <w:rFonts w:hint="eastAsia"/>
                                <w:lang w:val="en-US" w:eastAsia="zh-CN"/>
                              </w:rPr>
                              <w:t>草案</w:t>
                            </w:r>
                            <w:r>
                              <w:rPr>
                                <w:rFonts w:hint="eastAsia"/>
                              </w:rPr>
                              <w:t>）</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W6b/ZxACAAAsBAAADgAAAGRycy9lMm9Eb2MueG1srVNN&#10;j9sgEL1X6n9A3Bsn0TbateKstolSVdp+SNv+AIyxjQoMHUjs7a/vgJN0lV72UB+sAWYe89481vej&#10;NeyoMGhwFV/M5pwpJ6HRrqv4j+/7d7echShcIww4VfFnFfj95u2b9eBLtYQeTKOQEYgL5eAr3sfo&#10;y6IIsldWhBl45eiwBbQi0hK7okExELo1xXI+XxUDYOMRpAqBdnfTIT8h4msAoW21VDuQB6tcnFBR&#10;GRGJUui1D3yTu21bJePXtg0qMlNxYhrzny6huE7/YrMWZYfC91qeWhCvaeGKkxXa0aUXqJ2Igh1Q&#10;/wNltUQI0MaZBFtMRLIixGIxv9LmqRdeZS4kdfAX0cP/g5Vfjt+Q6abiNHYnLA28tXuk4CZpM/hQ&#10;UsqTp6Q4foCRHJN5Bv8I8mdgDra9cJ16QIShV6Kh3hapsnhROuGEBFIPn6GhS8QhQgYaW7RJOJKC&#10;ETrN5fkyFzVGJmnz/d3qbj6nI0lnN6vbxXKZJ1eI8lzuMcSPCixLQcWRBp/hxfExxNSOKM8p6bYA&#10;Rjd7bUxeYFdvDbKjIJPs85cZXKUZl5IdpLIJMe1knonaRDKO9XjSrYbmmRgjTKajJ0dBD/ibs4EM&#10;V/Hw6yBQcWY+OVItufMc4Dmoz4FwkkorHjmbwm2cXHzwqLuekKe5OHggZVudOacRTF2c+iQTZSlO&#10;hk8ufbnOWX8f+e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FefcdgAAAAJAQAADwAAAAAAAAAB&#10;ACAAAAAiAAAAZHJzL2Rvd25yZXYueG1sUEsBAhQAFAAAAAgAh07iQFum/2cQAgAALAQAAA4AAAAA&#10;AAAAAQAgAAAAJwEAAGRycy9lMm9Eb2MueG1sUEsFBgAAAAAGAAYAWQEAAKkFAAAAAA==&#10;">
                <v:fill on="t" focussize="0,0"/>
                <v:stroke on="f"/>
                <v:imagedata o:title=""/>
                <o:lock v:ext="edit" aspectratio="f"/>
                <v:textbox inset="0mm,0mm,0mm,0mm">
                  <w:txbxContent>
                    <w:p>
                      <w:pPr>
                        <w:pStyle w:val="65"/>
                        <w:rPr>
                          <w:rFonts w:hint="default" w:eastAsia="黑体"/>
                          <w:lang w:val="en-US" w:eastAsia="zh-CN"/>
                        </w:rPr>
                      </w:pPr>
                      <w:r>
                        <w:rPr>
                          <w:rFonts w:hint="eastAsia"/>
                          <w:lang w:val="en-US" w:eastAsia="zh-CN"/>
                        </w:rPr>
                        <w:t>氨基酸表面活性剂  谷氨酸型</w:t>
                      </w:r>
                    </w:p>
                    <w:p>
                      <w:pPr>
                        <w:pStyle w:val="64"/>
                        <w:rPr>
                          <w:rFonts w:hint="default" w:eastAsia="黑体"/>
                          <w:lang w:val="en-US" w:eastAsia="zh-CN"/>
                        </w:rPr>
                      </w:pPr>
                      <w:r>
                        <w:rPr>
                          <w:rFonts w:hint="eastAsia"/>
                          <w:lang w:val="en-US" w:eastAsia="zh-CN"/>
                        </w:rPr>
                        <w:t>Amino Acid Surfactant  Glutamicacid type</w:t>
                      </w:r>
                    </w:p>
                    <w:p>
                      <w:pPr>
                        <w:pStyle w:val="63"/>
                      </w:pPr>
                      <w:r>
                        <w:rPr>
                          <w:rFonts w:hint="eastAsia"/>
                        </w:rPr>
                        <w:t>（</w:t>
                      </w:r>
                      <w:r>
                        <w:rPr>
                          <w:rFonts w:hint="eastAsia"/>
                          <w:lang w:val="en-US" w:eastAsia="zh-CN"/>
                        </w:rPr>
                        <w:t>草案</w:t>
                      </w:r>
                      <w:r>
                        <w:rPr>
                          <w:rFonts w:hint="eastAsia"/>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0" b="0"/>
                <wp:wrapNone/>
                <wp:docPr id="7"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pStyle w:val="85"/>
                            </w:pPr>
                            <w:r>
                              <w:t>QB/T XXXX-</w:t>
                            </w:r>
                            <w:r>
                              <w:rPr>
                                <w:rFonts w:hint="eastAsia"/>
                              </w:rPr>
                              <w:t>XXXX</w:t>
                            </w:r>
                          </w:p>
                          <w:p>
                            <w:pPr>
                              <w:pStyle w:val="117"/>
                              <w:wordWrap w:val="0"/>
                              <w:spacing w:before="78" w:after="78"/>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xr9yIRACAAArBAAADgAAAGRycy9lMm9Eb2MueG1srVNN&#10;b9swDL0P2H8QdF+cpGsWGHGKLkGGAd0H0O0HyLJsC7NEjVJiZ79+lOxkXXfpYT4YlEg+8j1Sm7vB&#10;dOyk0GuwBV/M5pwpK6HStin492+HN2vOfBC2Eh1YVfCz8vxu+/rVpne5WkILXaWQEYj1ee8K3obg&#10;8izzslVG+Bk4ZclZAxoR6IhNVqHoCd102XI+X2U9YOUQpPKebvejk0+I+BJAqGst1R7k0SgbRlRU&#10;nQhEybfaeb5N3da1kuFLXXsVWFdwYhrSn4qQXcZ/tt2IvEHhWi2nFsRLWnjGyQhtqegVai+CYEfU&#10;/0AZLRE81GEmwWQjkaQIsVjMn2nz2AqnEheS2rur6P7/wcrPp6/IdFXwd5xZYWjgtTkgGTdRm975&#10;nEIeHQWF4T0MtDGJp3cPIH94ZmHXCtuoe0ToWyUq6m0RM7MnqSOOjyBl/wkqKiKOARLQUKOJwpEU&#10;jNBpLufrXNQQmKTL2/V8ubohlyTfejV/u7xNJUR+yXbowwcFhkWj4EhzT+ji9OBD7Ebkl5BYzEOn&#10;q4PuunTAptx1yE6CduSQvgn9r7DOxmALMW1EjDeJZmQ2cgxDOUyylVCdiTDCuHP04shoAX9x1tO+&#10;Fdz/PApUnHUfLYkWl/Ni4MUoL4awklILHjgbzV0Yl/joUDctIY9jsXBPwtY6cY4TGLuY+qQdSlJM&#10;+x6X9Ok5Rf1549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QGk+9gAAAAIAQAADwAAAAAAAAAB&#10;ACAAAAAiAAAAZHJzL2Rvd25yZXYueG1sUEsBAhQAFAAAAAgAh07iQMa/ciEQAgAAKwQAAA4AAAAA&#10;AAAAAQAgAAAAJwEAAGRycy9lMm9Eb2MueG1sUEsFBgAAAAAGAAYAWQEAAKkFAAAAAA==&#10;">
                <v:fill on="t" focussize="0,0"/>
                <v:stroke on="f"/>
                <v:imagedata o:title=""/>
                <o:lock v:ext="edit" aspectratio="f"/>
                <v:textbox inset="0mm,0mm,0mm,0mm">
                  <w:txbxContent>
                    <w:p>
                      <w:pPr>
                        <w:pStyle w:val="85"/>
                      </w:pPr>
                      <w:r>
                        <w:t>QB/T XXXX-</w:t>
                      </w:r>
                      <w:r>
                        <w:rPr>
                          <w:rFonts w:hint="eastAsia"/>
                        </w:rPr>
                        <w:t>XXXX</w:t>
                      </w:r>
                    </w:p>
                    <w:p>
                      <w:pPr>
                        <w:pStyle w:val="117"/>
                        <w:wordWrap w:val="0"/>
                        <w:spacing w:before="78" w:after="78"/>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6"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82"/>
                            </w:pPr>
                            <w:r>
                              <w:rPr>
                                <w:rFonts w:hint="eastAsia"/>
                              </w:rPr>
                              <w:t>中华人民共和国轻工行业标准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Hl6bmDgIAACsEAAAOAAAAZHJzL2Uyb0RvYy54bWytU02P&#10;2yAQvVfqf0DcG8dZKWqtOKttolSVth/Sbn8AwdhGBYYOJHb66zvgJF2llz3UB2uAmce8N4/V/WgN&#10;OyoMGlzNy9mcM+UkNNp1Nf/xvHv3nrMQhWuEAadqflKB36/fvlkNvlIL6ME0ChmBuFANvuZ9jL4q&#10;iiB7ZUWYgVeODltAKyItsSsaFAOhW1Ms5vNlMQA2HkGqEGh3Ox3yMyK+BhDaVku1BXmwysUJFZUR&#10;kSiFXvvA17nbtlUyfmvboCIzNSemMf/pEor36V+sV6LqUPhey3ML4jUt3HCyQju69Aq1FVGwA+p/&#10;oKyWCAHaOJNgi4lIVoRYlPMbbZ564VXmQlIHfxU9/D9Y+fX4HZluar7kzAlLA2/tDilYJG0GHypK&#10;efKUFMePMJJjMs/gH0H+DMzBpheuUw+IMPRKNNRbmSqLF6UTTkgg++ELNHSJOETIQGOLNglHUjBC&#10;p7mcrnNRY2SSNpcliXNHR5LO7j6U5TIPrhDVpdpjiJ8UWJaCmiPNPaOL42OIqRtRXVLSZQGMbnba&#10;mLzAbr8xyI6CPLLLXyZwk2ZcSnaQyibEtJNpJmYTxzjux7Nse2hORBhh8hy9OAp6wN+cDeS3modf&#10;B4GKM/PZkWjJnJcAL8H+EggnqbTmkbMp3MTJxAePuusJeRqLgwcSttWZc5rA1MW5T/JQluLs92TS&#10;l+uc9feN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AeXpuYOAgAAKwQAAA4AAAAAAAAA&#10;AQAgAAAAJgEAAGRycy9lMm9Eb2MueG1sUEsFBgAAAAAGAAYAWQEAAKYFAAAAAA==&#10;">
                <v:fill on="t" focussize="0,0"/>
                <v:stroke on="f"/>
                <v:imagedata o:title=""/>
                <o:lock v:ext="edit" aspectratio="f"/>
                <v:textbox inset="0mm,0mm,0mm,0mm">
                  <w:txbxContent>
                    <w:p>
                      <w:pPr>
                        <w:pStyle w:val="82"/>
                      </w:pPr>
                      <w:r>
                        <w:rPr>
                          <w:rFonts w:hint="eastAsia"/>
                        </w:rPr>
                        <w:t>中华人民共和国轻工行业标准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0"/>
                <wp:wrapNone/>
                <wp:docPr id="5"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26"/>
                              <w:pBdr>
                                <w:top w:val="none" w:color="auto" w:sz="0" w:space="0"/>
                                <w:left w:val="none" w:color="auto" w:sz="0" w:space="0"/>
                                <w:bottom w:val="none" w:color="auto" w:sz="0" w:space="0"/>
                                <w:right w:val="none" w:color="auto" w:sz="0" w:space="0"/>
                              </w:pBdr>
                            </w:pPr>
                            <w:r>
                              <w:t>ICS 71.100</w:t>
                            </w:r>
                            <w:r>
                              <w:rPr>
                                <w:rFonts w:hint="eastAsia"/>
                              </w:rPr>
                              <w:t>.40</w:t>
                            </w:r>
                          </w:p>
                          <w:p>
                            <w:pPr>
                              <w:pStyle w:val="126"/>
                              <w:pBdr>
                                <w:top w:val="none" w:color="auto" w:sz="0" w:space="0"/>
                                <w:left w:val="none" w:color="auto" w:sz="0" w:space="0"/>
                                <w:bottom w:val="none" w:color="auto" w:sz="0" w:space="0"/>
                                <w:right w:val="none" w:color="auto" w:sz="0" w:space="0"/>
                              </w:pBdr>
                            </w:pPr>
                            <w:r>
                              <w:rPr>
                                <w:rFonts w:hint="eastAsia"/>
                                <w:lang w:val="en-US" w:eastAsia="zh-CN"/>
                              </w:rPr>
                              <w:t>G7</w:t>
                            </w:r>
                            <w:r>
                              <w:rPr>
                                <w:rFonts w:hint="eastAsia"/>
                              </w:rPr>
                              <w:t>3</w:t>
                            </w:r>
                          </w:p>
                          <w:p>
                            <w:pPr>
                              <w:pStyle w:val="126"/>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Fdk8hUPAgAAKwQAAA4AAABkcnMvZTJvRG9jLnhtbK1TTY/bIBC9&#10;V+p/QNwbJ1GTrqw4q22iVJW2H9K2PwBjbKMCQwcSe/vrO+Ak3W4ve6gP1gAzj3lvHpvb0Rp2Uhg0&#10;uIovZnPOlJPQaNdV/Pu3w5sbzkIUrhEGnKr4owr8dvv61WbwpVpCD6ZRyAjEhXLwFe9j9GVRBNkr&#10;K8IMvHJ02AJaEWmJXdGgGAjdmmI5n6+LAbDxCFKFQLv76ZCfEfElgNC2Wqo9yKNVLk6oqIyIRCn0&#10;2ge+zd22rZLxS9sGFZmpODGN+U+XUFynf7HdiLJD4Xstzy2Il7TwjJMV2tGlV6i9iIIdUf8DZbVE&#10;CNDGmQRbTESyIsRiMX+mzUMvvMpcSOrgr6KH/wcrP5++ItNNxVecOWFp4K09IAWLpM3gQ0kpD56S&#10;4vgeRnJM5hn8PcgfgTnY9cJ16g4Rhl6JhnrLlcWT0gknJJB6+AQNXSKOETLQ2KJNwpEUjNBpLo/X&#10;uagxMkmby9XbOX2cSTpbr97drPPgClFeqj2G+EGBZSmoONLcM7o43YdIPCj1kpIuC2B0c9DG5AV2&#10;9c4gOwnyyCF/iTqV/JVmXEp2kMqm47STaSZmE8c41uNZthqaRyKMMHmOXhwFPeAvzgbyW8XDz6NA&#10;xZn56Ei0ZM5LgJegvgTCSSqteORsCndxMvHRo+56Qp7G4uCOhG115pwmMHVx7pM8lHmd/Z5M+nSd&#10;s/688e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Fdk8hUPAgAAKwQAAA4AAAAAAAAAAQAg&#10;AAAAIgEAAGRycy9lMm9Eb2MueG1sUEsFBgAAAAAGAAYAWQEAAKMFAAAAAA==&#10;">
                <v:fill on="t" focussize="0,0"/>
                <v:stroke on="f"/>
                <v:imagedata o:title=""/>
                <o:lock v:ext="edit" aspectratio="f"/>
                <v:textbox inset="0mm,0mm,0mm,0mm">
                  <w:txbxContent>
                    <w:p>
                      <w:pPr>
                        <w:pStyle w:val="126"/>
                        <w:pBdr>
                          <w:top w:val="none" w:color="auto" w:sz="0" w:space="0"/>
                          <w:left w:val="none" w:color="auto" w:sz="0" w:space="0"/>
                          <w:bottom w:val="none" w:color="auto" w:sz="0" w:space="0"/>
                          <w:right w:val="none" w:color="auto" w:sz="0" w:space="0"/>
                        </w:pBdr>
                      </w:pPr>
                      <w:r>
                        <w:t>ICS 71.100</w:t>
                      </w:r>
                      <w:r>
                        <w:rPr>
                          <w:rFonts w:hint="eastAsia"/>
                        </w:rPr>
                        <w:t>.40</w:t>
                      </w:r>
                    </w:p>
                    <w:p>
                      <w:pPr>
                        <w:pStyle w:val="126"/>
                        <w:pBdr>
                          <w:top w:val="none" w:color="auto" w:sz="0" w:space="0"/>
                          <w:left w:val="none" w:color="auto" w:sz="0" w:space="0"/>
                          <w:bottom w:val="none" w:color="auto" w:sz="0" w:space="0"/>
                          <w:right w:val="none" w:color="auto" w:sz="0" w:space="0"/>
                        </w:pBdr>
                      </w:pPr>
                      <w:r>
                        <w:rPr>
                          <w:rFonts w:hint="eastAsia"/>
                          <w:lang w:val="en-US" w:eastAsia="zh-CN"/>
                        </w:rPr>
                        <w:t>G7</w:t>
                      </w:r>
                      <w:r>
                        <w:rPr>
                          <w:rFonts w:hint="eastAsia"/>
                        </w:rPr>
                        <w:t>3</w:t>
                      </w:r>
                    </w:p>
                    <w:p>
                      <w:pPr>
                        <w:pStyle w:val="126"/>
                      </w:pPr>
                    </w:p>
                  </w:txbxContent>
                </v:textbox>
                <w10:anchorlock/>
              </v:shape>
            </w:pict>
          </mc:Fallback>
        </mc:AlternateContent>
      </w:r>
    </w:p>
    <w:p>
      <w:pPr>
        <w:pStyle w:val="110"/>
      </w:pPr>
      <w:bookmarkStart w:id="0" w:name="BZ"/>
      <w:bookmarkEnd w:id="0"/>
      <w:bookmarkStart w:id="1" w:name="_Toc263933111"/>
      <w:bookmarkStart w:id="2" w:name="_Toc289178804"/>
      <w:bookmarkStart w:id="3" w:name="_Toc263926068"/>
      <w:bookmarkStart w:id="4" w:name="_Toc289178683"/>
      <w:bookmarkStart w:id="5" w:name="_Toc289179700"/>
      <w:r>
        <w:rPr>
          <w:rFonts w:hint="eastAsia"/>
        </w:rPr>
        <w:t>前</w:t>
      </w:r>
      <w:bookmarkStart w:id="6" w:name="BKQY"/>
      <w:r>
        <w:t>  </w:t>
      </w:r>
      <w:r>
        <w:rPr>
          <w:rFonts w:hint="eastAsia"/>
        </w:rPr>
        <w:t>言</w:t>
      </w:r>
      <w:bookmarkEnd w:id="1"/>
      <w:bookmarkEnd w:id="2"/>
      <w:bookmarkEnd w:id="3"/>
      <w:bookmarkEnd w:id="4"/>
      <w:bookmarkEnd w:id="5"/>
      <w:bookmarkEnd w:id="6"/>
    </w:p>
    <w:p>
      <w:pPr>
        <w:pStyle w:val="21"/>
        <w:keepNext w:val="0"/>
        <w:keepLines w:val="0"/>
        <w:pageBreakBefore w:val="0"/>
        <w:kinsoku/>
        <w:wordWrap/>
        <w:overflowPunct/>
        <w:topLinePunct w:val="0"/>
        <w:bidi w:val="0"/>
        <w:adjustRightInd/>
        <w:snapToGrid/>
        <w:spacing w:line="300" w:lineRule="auto"/>
        <w:textAlignment w:val="auto"/>
      </w:pPr>
      <w:r>
        <w:rPr>
          <w:rFonts w:hint="eastAsia"/>
        </w:rPr>
        <w:t>本文件按照GB/T 1.1-2020《标准化工作导则  第1部分：标准化文件的结构和起草规则》的规定起草。</w:t>
      </w:r>
    </w:p>
    <w:p>
      <w:pPr>
        <w:keepNext w:val="0"/>
        <w:keepLines w:val="0"/>
        <w:pageBreakBefore w:val="0"/>
        <w:kinsoku/>
        <w:wordWrap/>
        <w:overflowPunct/>
        <w:topLinePunct w:val="0"/>
        <w:bidi w:val="0"/>
        <w:adjustRightInd/>
        <w:snapToGrid/>
        <w:spacing w:line="300" w:lineRule="auto"/>
        <w:ind w:firstLine="420"/>
        <w:textAlignment w:val="auto"/>
      </w:pPr>
      <w:r>
        <w:t>请注意本</w:t>
      </w:r>
      <w:r>
        <w:rPr>
          <w:rFonts w:hint="eastAsia"/>
        </w:rPr>
        <w:t>文件</w:t>
      </w:r>
      <w:r>
        <w:t>的某些内容可能涉及专利</w:t>
      </w:r>
      <w:r>
        <w:rPr>
          <w:rFonts w:hint="eastAsia"/>
        </w:rPr>
        <w:t>。</w:t>
      </w:r>
      <w:r>
        <w:t>本</w:t>
      </w:r>
      <w:r>
        <w:rPr>
          <w:rFonts w:hint="eastAsia"/>
        </w:rPr>
        <w:t>文件</w:t>
      </w:r>
      <w:r>
        <w:t>的发布机构不承担识别这些专利的责任。</w:t>
      </w:r>
    </w:p>
    <w:p>
      <w:pPr>
        <w:keepNext w:val="0"/>
        <w:keepLines w:val="0"/>
        <w:pageBreakBefore w:val="0"/>
        <w:kinsoku/>
        <w:wordWrap/>
        <w:overflowPunct/>
        <w:topLinePunct w:val="0"/>
        <w:bidi w:val="0"/>
        <w:adjustRightInd/>
        <w:snapToGrid/>
        <w:spacing w:line="300" w:lineRule="auto"/>
        <w:ind w:firstLine="420"/>
        <w:textAlignment w:val="auto"/>
      </w:pPr>
      <w:r>
        <w:t>本</w:t>
      </w:r>
      <w:r>
        <w:rPr>
          <w:rFonts w:hint="eastAsia"/>
        </w:rPr>
        <w:t>文件</w:t>
      </w:r>
      <w:r>
        <w:t>由中国轻工业联合会提出。</w:t>
      </w:r>
    </w:p>
    <w:p>
      <w:pPr>
        <w:keepNext w:val="0"/>
        <w:keepLines w:val="0"/>
        <w:pageBreakBefore w:val="0"/>
        <w:kinsoku/>
        <w:wordWrap/>
        <w:overflowPunct/>
        <w:topLinePunct w:val="0"/>
        <w:bidi w:val="0"/>
        <w:adjustRightInd/>
        <w:snapToGrid/>
        <w:spacing w:line="300" w:lineRule="auto"/>
        <w:ind w:firstLine="420"/>
        <w:textAlignment w:val="auto"/>
      </w:pPr>
      <w:r>
        <w:t>本</w:t>
      </w:r>
      <w:r>
        <w:rPr>
          <w:rFonts w:hint="eastAsia"/>
        </w:rPr>
        <w:t>文件</w:t>
      </w:r>
      <w:r>
        <w:t>由全国表面活性剂</w:t>
      </w:r>
      <w:r>
        <w:rPr>
          <w:rFonts w:hint="eastAsia"/>
        </w:rPr>
        <w:t>和</w:t>
      </w:r>
      <w:r>
        <w:t>洗涤用品标准化</w:t>
      </w:r>
      <w:r>
        <w:rPr>
          <w:rFonts w:hint="eastAsia"/>
        </w:rPr>
        <w:t>技术委员会（SAC</w:t>
      </w:r>
      <w:r>
        <w:t>/TC</w:t>
      </w:r>
      <w:r>
        <w:rPr>
          <w:rFonts w:hint="eastAsia"/>
          <w:lang w:val="en-US" w:eastAsia="zh-CN"/>
        </w:rPr>
        <w:t xml:space="preserve"> </w:t>
      </w:r>
      <w:r>
        <w:t>272</w:t>
      </w:r>
      <w:r>
        <w:rPr>
          <w:rFonts w:hint="eastAsia"/>
        </w:rPr>
        <w:t>）</w:t>
      </w:r>
      <w:r>
        <w:t>归口。</w:t>
      </w:r>
    </w:p>
    <w:p>
      <w:pPr>
        <w:pStyle w:val="21"/>
        <w:keepNext w:val="0"/>
        <w:keepLines w:val="0"/>
        <w:pageBreakBefore w:val="0"/>
        <w:kinsoku/>
        <w:wordWrap/>
        <w:overflowPunct/>
        <w:topLinePunct w:val="0"/>
        <w:bidi w:val="0"/>
        <w:adjustRightInd/>
        <w:snapToGrid/>
        <w:spacing w:line="300" w:lineRule="auto"/>
        <w:textAlignment w:val="auto"/>
      </w:pPr>
      <w:r>
        <w:rPr>
          <w:rFonts w:hint="eastAsia"/>
        </w:rPr>
        <w:t>本文件起草单位：</w:t>
      </w:r>
    </w:p>
    <w:p>
      <w:pPr>
        <w:pStyle w:val="21"/>
        <w:keepNext w:val="0"/>
        <w:keepLines w:val="0"/>
        <w:pageBreakBefore w:val="0"/>
        <w:kinsoku/>
        <w:wordWrap/>
        <w:overflowPunct/>
        <w:topLinePunct w:val="0"/>
        <w:bidi w:val="0"/>
        <w:adjustRightInd/>
        <w:snapToGrid/>
        <w:spacing w:line="300" w:lineRule="auto"/>
        <w:textAlignment w:val="auto"/>
      </w:pPr>
      <w:r>
        <w:rPr>
          <w:rFonts w:hint="eastAsia"/>
        </w:rPr>
        <w:t>本文件主要起草人：</w:t>
      </w:r>
    </w:p>
    <w:p>
      <w:pPr>
        <w:pStyle w:val="21"/>
        <w:keepNext w:val="0"/>
        <w:keepLines w:val="0"/>
        <w:pageBreakBefore w:val="0"/>
        <w:kinsoku/>
        <w:wordWrap/>
        <w:overflowPunct/>
        <w:topLinePunct w:val="0"/>
        <w:bidi w:val="0"/>
        <w:adjustRightInd/>
        <w:snapToGrid/>
        <w:spacing w:line="300" w:lineRule="auto"/>
        <w:textAlignment w:val="auto"/>
        <w:rPr>
          <w:rFonts w:hint="eastAsia" w:eastAsia="宋体"/>
          <w:lang w:eastAsia="zh-CN"/>
        </w:rPr>
      </w:pPr>
      <w:r>
        <w:rPr>
          <w:rFonts w:hint="eastAsia"/>
        </w:rPr>
        <w:t>本文件为首次发布</w:t>
      </w:r>
      <w:r>
        <w:rPr>
          <w:rFonts w:hint="eastAsia"/>
          <w:lang w:eastAsia="zh-CN"/>
        </w:rPr>
        <w:t>。</w:t>
      </w:r>
    </w:p>
    <w:p>
      <w:pPr>
        <w:pStyle w:val="21"/>
        <w:sectPr>
          <w:headerReference r:id="rId8" w:type="default"/>
          <w:footerReference r:id="rId9" w:type="default"/>
          <w:pgSz w:w="11906" w:h="16838"/>
          <w:pgMar w:top="567" w:right="1134" w:bottom="1134" w:left="1417" w:header="1418" w:footer="1134" w:gutter="0"/>
          <w:pgNumType w:fmt="upperRoman" w:start="1"/>
          <w:cols w:space="720" w:num="1"/>
          <w:formProt w:val="0"/>
          <w:docGrid w:type="lines" w:linePitch="312" w:charSpace="0"/>
        </w:sectPr>
      </w:pPr>
    </w:p>
    <w:p>
      <w:pPr>
        <w:pStyle w:val="55"/>
        <w:spacing w:before="360" w:after="360"/>
      </w:pPr>
      <w:r>
        <w:rPr>
          <w:rFonts w:hint="eastAsia"/>
          <w:lang w:val="en-US" w:eastAsia="zh-CN"/>
        </w:rPr>
        <w:t>氨基酸表面活性剂  谷氨酸型</w:t>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7" w:name="_Toc263926069"/>
      <w:bookmarkStart w:id="8" w:name="_Toc289179701"/>
      <w:bookmarkStart w:id="9" w:name="_Toc263933112"/>
      <w:bookmarkStart w:id="10" w:name="_Toc289178805"/>
      <w:bookmarkStart w:id="11" w:name="_Toc289178684"/>
      <w:r>
        <w:rPr>
          <w:rFonts w:hint="eastAsia"/>
        </w:rPr>
        <w:t>范围</w:t>
      </w:r>
      <w:bookmarkEnd w:id="7"/>
      <w:bookmarkEnd w:id="8"/>
      <w:bookmarkEnd w:id="9"/>
      <w:bookmarkEnd w:id="10"/>
      <w:bookmarkEnd w:id="11"/>
    </w:p>
    <w:p>
      <w:pPr>
        <w:pStyle w:val="21"/>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textAlignment w:val="auto"/>
      </w:pPr>
      <w:r>
        <w:rPr>
          <w:rFonts w:hint="eastAsia"/>
        </w:rPr>
        <w:t>本文件规定了</w:t>
      </w:r>
      <w:r>
        <w:rPr>
          <w:rFonts w:hint="eastAsia"/>
          <w:lang w:val="en-US" w:eastAsia="zh-CN"/>
        </w:rPr>
        <w:t>谷氨酸型氨基酸表面活性剂的产品要求</w:t>
      </w:r>
      <w:r>
        <w:rPr>
          <w:rFonts w:hint="eastAsia"/>
        </w:rPr>
        <w:t>，试验方法，检验规则和标志、包装、运输、贮存和保质期。</w:t>
      </w:r>
    </w:p>
    <w:p>
      <w:pPr>
        <w:pStyle w:val="21"/>
        <w:keepNext w:val="0"/>
        <w:keepLines w:val="0"/>
        <w:pageBreakBefore w:val="0"/>
        <w:widowControl/>
        <w:kinsoku/>
        <w:wordWrap/>
        <w:overflowPunct/>
        <w:topLinePunct w:val="0"/>
        <w:autoSpaceDE w:val="0"/>
        <w:autoSpaceDN w:val="0"/>
        <w:bidi w:val="0"/>
        <w:adjustRightInd/>
        <w:snapToGrid/>
        <w:spacing w:line="300" w:lineRule="auto"/>
        <w:textAlignment w:val="auto"/>
      </w:pPr>
      <w:r>
        <w:rPr>
          <w:rFonts w:hint="eastAsia"/>
        </w:rPr>
        <w:t>本文件适用于</w:t>
      </w:r>
      <w:r>
        <w:rPr>
          <w:rFonts w:hint="eastAsia"/>
          <w:lang w:val="en-US" w:eastAsia="zh-CN"/>
        </w:rPr>
        <w:t>谷氨酸型氨基酸表面活性剂。</w:t>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12" w:name="_Toc263933113"/>
      <w:bookmarkStart w:id="13" w:name="_Toc289178806"/>
      <w:bookmarkStart w:id="14" w:name="_Toc289178685"/>
      <w:bookmarkStart w:id="15" w:name="_Toc263926070"/>
      <w:bookmarkStart w:id="16" w:name="_Toc289179702"/>
      <w:r>
        <w:rPr>
          <w:rFonts w:hint="eastAsia"/>
        </w:rPr>
        <w:t>规范性引用文件</w:t>
      </w:r>
      <w:bookmarkEnd w:id="12"/>
      <w:bookmarkEnd w:id="13"/>
      <w:bookmarkEnd w:id="14"/>
      <w:bookmarkEnd w:id="15"/>
      <w:bookmarkEnd w:id="16"/>
    </w:p>
    <w:p>
      <w:pPr>
        <w:pStyle w:val="21"/>
        <w:spacing w:line="300" w:lineRule="auto"/>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1"/>
        <w:spacing w:line="300" w:lineRule="auto"/>
        <w:rPr>
          <w:rFonts w:hint="eastAsia"/>
        </w:rPr>
      </w:pPr>
      <w:bookmarkStart w:id="17" w:name="_Toc155316797"/>
      <w:r>
        <w:rPr>
          <w:rFonts w:hint="default" w:ascii="Times New Roman" w:hAnsi="Times New Roman" w:cs="Times New Roman"/>
        </w:rPr>
        <w:t>GB/T</w:t>
      </w:r>
      <w:r>
        <w:rPr>
          <w:rFonts w:hint="default" w:ascii="Times New Roman" w:hAnsi="Times New Roman" w:cs="Times New Roman"/>
          <w:lang w:val="en-US" w:eastAsia="zh-CN"/>
        </w:rPr>
        <w:t xml:space="preserve"> 191</w:t>
      </w:r>
      <w:r>
        <w:rPr>
          <w:rFonts w:hint="eastAsia"/>
          <w:lang w:val="en-US" w:eastAsia="zh-CN"/>
        </w:rPr>
        <w:t xml:space="preserve"> 包装储运图示标志</w:t>
      </w:r>
    </w:p>
    <w:p>
      <w:pPr>
        <w:pStyle w:val="21"/>
        <w:spacing w:line="300" w:lineRule="auto"/>
        <w:rPr>
          <w:rFonts w:hint="default" w:eastAsia="宋体"/>
          <w:lang w:val="en-US" w:eastAsia="zh-CN"/>
        </w:rPr>
      </w:pPr>
      <w:r>
        <w:rPr>
          <w:rFonts w:hint="eastAsia" w:ascii="Times New Roman" w:hAnsi="Times New Roman" w:cs="Times New Roman"/>
        </w:rPr>
        <w:t xml:space="preserve">GB/T </w:t>
      </w:r>
      <w:r>
        <w:rPr>
          <w:rFonts w:hint="eastAsia" w:ascii="Times New Roman" w:hAnsi="Times New Roman" w:cs="Times New Roman"/>
          <w:lang w:val="en-US" w:eastAsia="zh-CN"/>
        </w:rPr>
        <w:t>3143</w:t>
      </w:r>
      <w:r>
        <w:rPr>
          <w:rFonts w:hint="eastAsia"/>
          <w:lang w:val="en-US" w:eastAsia="zh-CN"/>
        </w:rPr>
        <w:t xml:space="preserve"> 液体化学产品颜色测定法（Hazen 单位-铂-钴色号）</w:t>
      </w:r>
    </w:p>
    <w:p>
      <w:pPr>
        <w:pStyle w:val="21"/>
        <w:spacing w:line="300" w:lineRule="auto"/>
        <w:rPr>
          <w:rFonts w:hint="eastAsia"/>
        </w:rPr>
      </w:pPr>
      <w:r>
        <w:rPr>
          <w:rFonts w:hint="eastAsia" w:ascii="Times New Roman" w:hAnsi="Times New Roman" w:cs="Times New Roman"/>
        </w:rPr>
        <w:t>GB/T 6368</w:t>
      </w:r>
      <w:r>
        <w:rPr>
          <w:rFonts w:hint="eastAsia"/>
        </w:rPr>
        <w:t xml:space="preserve"> 表面活性剂 水溶性pH值的测定 电位法</w:t>
      </w:r>
    </w:p>
    <w:p>
      <w:pPr>
        <w:pStyle w:val="21"/>
        <w:spacing w:line="300" w:lineRule="auto"/>
        <w:rPr>
          <w:rFonts w:hint="default" w:eastAsia="宋体"/>
          <w:lang w:val="en-US" w:eastAsia="zh-CN"/>
        </w:rPr>
      </w:pPr>
      <w:r>
        <w:rPr>
          <w:rFonts w:hint="eastAsia" w:ascii="Times New Roman" w:hAnsi="Times New Roman" w:cs="Times New Roman"/>
        </w:rPr>
        <w:t>GB/T</w:t>
      </w:r>
      <w:r>
        <w:rPr>
          <w:rFonts w:hint="eastAsia" w:ascii="Times New Roman" w:hAnsi="Times New Roman" w:cs="Times New Roman"/>
          <w:lang w:val="en-US" w:eastAsia="zh-CN"/>
        </w:rPr>
        <w:t xml:space="preserve"> 8170 </w:t>
      </w:r>
      <w:r>
        <w:rPr>
          <w:rFonts w:hint="eastAsia"/>
          <w:lang w:val="en-US" w:eastAsia="zh-CN"/>
        </w:rPr>
        <w:t>数字修约规则与极限数值的表示和判定</w:t>
      </w:r>
    </w:p>
    <w:p>
      <w:pPr>
        <w:pStyle w:val="21"/>
        <w:spacing w:line="300" w:lineRule="auto"/>
      </w:pPr>
      <w:r>
        <w:rPr>
          <w:rFonts w:hint="eastAsia" w:ascii="Times New Roman" w:hAnsi="Times New Roman" w:cs="Times New Roman"/>
        </w:rPr>
        <w:t>GB/T 13173</w:t>
      </w:r>
      <w:r>
        <w:rPr>
          <w:rFonts w:hint="eastAsia"/>
        </w:rPr>
        <w:t xml:space="preserve"> 表面活性剂 洗涤剂试验方法</w:t>
      </w:r>
    </w:p>
    <w:p>
      <w:pPr>
        <w:pStyle w:val="21"/>
        <w:spacing w:line="300" w:lineRule="auto"/>
        <w:rPr>
          <w:rFonts w:hint="eastAsia"/>
        </w:rPr>
      </w:pPr>
      <w:r>
        <w:rPr>
          <w:rFonts w:hint="eastAsia" w:ascii="Times New Roman" w:hAnsi="Times New Roman" w:cs="Times New Roman"/>
        </w:rPr>
        <w:t>QB/T 2739</w:t>
      </w:r>
      <w:r>
        <w:rPr>
          <w:rFonts w:hint="eastAsia" w:ascii="Times New Roman" w:cs="Times New Roman"/>
          <w:lang w:val="en-US" w:eastAsia="zh-CN"/>
        </w:rPr>
        <w:t xml:space="preserve"> </w:t>
      </w:r>
      <w:r>
        <w:rPr>
          <w:rFonts w:hint="eastAsia"/>
        </w:rPr>
        <w:t>洗涤用品常用试验方法  滴定分析（容量分析）用试验溶液的制备</w:t>
      </w:r>
    </w:p>
    <w:p>
      <w:pPr>
        <w:pStyle w:val="21"/>
        <w:spacing w:line="300" w:lineRule="auto"/>
        <w:rPr>
          <w:rFonts w:hint="default" w:eastAsia="宋体"/>
          <w:lang w:val="en-US" w:eastAsia="zh-CN"/>
        </w:rPr>
      </w:pPr>
      <w:r>
        <w:rPr>
          <w:rFonts w:hint="eastAsia"/>
          <w:lang w:val="en-US" w:eastAsia="zh-CN"/>
        </w:rPr>
        <w:t xml:space="preserve">化妆品安全技术规范  </w:t>
      </w:r>
      <w:r>
        <w:rPr>
          <w:rFonts w:hint="eastAsia" w:ascii="Times New Roman" w:hAnsi="Times New Roman" w:cs="Times New Roman"/>
          <w:lang w:val="en-US" w:eastAsia="zh-CN"/>
        </w:rPr>
        <w:t>2015</w:t>
      </w:r>
      <w:r>
        <w:rPr>
          <w:rFonts w:hint="eastAsia"/>
          <w:lang w:val="en-US" w:eastAsia="zh-CN"/>
        </w:rPr>
        <w:t>年版</w:t>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18" w:name="_GoBack"/>
      <w:bookmarkEnd w:id="18"/>
      <w:r>
        <w:rPr>
          <w:rFonts w:hint="eastAsia"/>
        </w:rPr>
        <w:t>术语和定义</w:t>
      </w:r>
      <w:bookmarkEnd w:id="17"/>
    </w:p>
    <w:p>
      <w:pPr>
        <w:pStyle w:val="21"/>
        <w:spacing w:line="300" w:lineRule="auto"/>
        <w:rPr>
          <w:rFonts w:hint="eastAsia"/>
          <w:lang w:eastAsia="zh-CN"/>
        </w:rPr>
      </w:pPr>
      <w:r>
        <w:rPr>
          <w:rFonts w:hint="eastAsia"/>
        </w:rPr>
        <w:t>本文件没有需要界定的术语和定义</w:t>
      </w:r>
      <w:r>
        <w:rPr>
          <w:rFonts w:hint="eastAsia"/>
          <w:lang w:eastAsia="zh-CN"/>
        </w:rPr>
        <w:t>。</w:t>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hAnsi="Times New Roman" w:cs="Times New Roman"/>
          <w:lang w:val="en-US" w:eastAsia="zh-CN"/>
        </w:rPr>
      </w:pPr>
      <w:r>
        <w:rPr>
          <w:rFonts w:hint="eastAsia" w:hAnsi="Times New Roman" w:cs="Times New Roman"/>
          <w:lang w:val="en-US" w:eastAsia="zh-CN"/>
        </w:rPr>
        <w:t>产品结构通式</w:t>
      </w:r>
    </w:p>
    <w:p>
      <w:pPr>
        <w:pStyle w:val="21"/>
        <w:rPr>
          <w:rFonts w:hint="eastAsia"/>
          <w:lang w:val="en-US" w:eastAsia="zh-CN"/>
        </w:rPr>
      </w:pPr>
      <w:r>
        <w:rPr>
          <w:rFonts w:hint="eastAsia"/>
          <w:lang w:val="en-US" w:eastAsia="zh-CN"/>
        </w:rPr>
        <w:t>结构通式如下，M为金属离子。</w:t>
      </w:r>
    </w:p>
    <w:p>
      <w:pPr>
        <w:pStyle w:val="21"/>
        <w:ind w:left="0" w:leftChars="0" w:firstLine="2310" w:firstLineChars="1100"/>
        <w:rPr>
          <w:rFonts w:hint="default" w:ascii="Times New Roman" w:cs="Times New Roman"/>
          <w:lang w:val="en-US" w:eastAsia="zh-CN"/>
        </w:rPr>
      </w:pPr>
      <w:r>
        <w:drawing>
          <wp:inline distT="0" distB="0" distL="114300" distR="114300">
            <wp:extent cx="1362075" cy="50482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1362075" cy="504825"/>
                    </a:xfrm>
                    <a:prstGeom prst="rect">
                      <a:avLst/>
                    </a:prstGeom>
                    <a:noFill/>
                    <a:ln>
                      <a:noFill/>
                    </a:ln>
                  </pic:spPr>
                </pic:pic>
              </a:graphicData>
            </a:graphic>
          </wp:inline>
        </w:drawing>
      </w: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rPr>
        <w:t>产品要求</w:t>
      </w:r>
    </w:p>
    <w:p>
      <w:pPr>
        <w:pStyle w:val="40"/>
        <w:numPr>
          <w:ilvl w:val="1"/>
          <w:numId w:val="8"/>
        </w:numPr>
        <w:ind w:left="0" w:leftChars="0" w:firstLine="0" w:firstLineChars="0"/>
        <w:rPr>
          <w:rFonts w:hint="eastAsia"/>
          <w:lang w:val="en-US" w:eastAsia="zh-CN"/>
        </w:rPr>
      </w:pPr>
      <w:r>
        <w:rPr>
          <w:rFonts w:hint="eastAsia"/>
          <w:lang w:val="en-US" w:eastAsia="zh-CN"/>
        </w:rPr>
        <w:t>理化指标</w:t>
      </w:r>
    </w:p>
    <w:p>
      <w:pPr>
        <w:pStyle w:val="21"/>
        <w:tabs>
          <w:tab w:val="left" w:pos="3554"/>
          <w:tab w:val="clear" w:pos="4201"/>
        </w:tabs>
        <w:ind w:firstLine="0" w:firstLineChars="0"/>
        <w:jc w:val="center"/>
      </w:pPr>
      <w:r>
        <w:rPr>
          <w:rFonts w:hint="eastAsia" w:ascii="黑体" w:hAnsi="黑体" w:eastAsia="黑体" w:cs="黑体"/>
        </w:rPr>
        <w:t>表1</w:t>
      </w:r>
      <w:r>
        <w:rPr>
          <w:rFonts w:hint="eastAsia" w:ascii="黑体" w:hAnsi="黑体" w:eastAsia="黑体" w:cs="黑体"/>
          <w:lang w:val="en-US" w:eastAsia="zh-CN"/>
        </w:rPr>
        <w:t xml:space="preserve"> 理化</w:t>
      </w:r>
      <w:r>
        <w:rPr>
          <w:rFonts w:hint="eastAsia" w:ascii="黑体" w:hAnsi="黑体" w:eastAsia="黑体" w:cs="黑体"/>
        </w:rPr>
        <w:t>指标要求</w:t>
      </w:r>
    </w:p>
    <w:tbl>
      <w:tblPr>
        <w:tblStyle w:val="29"/>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项目</w:t>
            </w:r>
          </w:p>
        </w:tc>
        <w:tc>
          <w:tcPr>
            <w:tcW w:w="4450"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53" w:type="dxa"/>
            <w:vAlign w:val="center"/>
          </w:tcPr>
          <w:p>
            <w:pPr>
              <w:pStyle w:val="21"/>
              <w:tabs>
                <w:tab w:val="left" w:pos="3554"/>
                <w:tab w:val="clear" w:pos="4201"/>
              </w:tabs>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外观</w:t>
            </w:r>
          </w:p>
        </w:tc>
        <w:tc>
          <w:tcPr>
            <w:tcW w:w="4450" w:type="dxa"/>
            <w:vAlign w:val="center"/>
          </w:tcPr>
          <w:p>
            <w:pPr>
              <w:pStyle w:val="21"/>
              <w:rPr>
                <w:rFonts w:ascii="Times New Roman"/>
                <w:sz w:val="18"/>
                <w:szCs w:val="18"/>
              </w:rPr>
            </w:pPr>
            <w:r>
              <w:rPr>
                <w:rFonts w:hint="eastAsia"/>
                <w:lang w:val="en-US" w:eastAsia="zh-CN"/>
              </w:rPr>
              <w:t>25℃时，为无色至淡黄色液体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53" w:type="dxa"/>
            <w:vAlign w:val="center"/>
          </w:tcPr>
          <w:p>
            <w:pPr>
              <w:pStyle w:val="21"/>
              <w:tabs>
                <w:tab w:val="left" w:pos="3554"/>
                <w:tab w:val="clear" w:pos="4201"/>
              </w:tabs>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气味</w:t>
            </w:r>
          </w:p>
        </w:tc>
        <w:tc>
          <w:tcPr>
            <w:tcW w:w="4450" w:type="dxa"/>
            <w:vAlign w:val="center"/>
          </w:tcPr>
          <w:p>
            <w:pPr>
              <w:pStyle w:val="21"/>
              <w:tabs>
                <w:tab w:val="left" w:pos="3554"/>
                <w:tab w:val="clear" w:pos="4201"/>
              </w:tabs>
              <w:ind w:firstLine="0" w:firstLineChars="0"/>
              <w:jc w:val="center"/>
              <w:rPr>
                <w:rFonts w:ascii="Times New Roman"/>
                <w:sz w:val="18"/>
                <w:szCs w:val="18"/>
              </w:rPr>
            </w:pPr>
            <w:r>
              <w:rPr>
                <w:rFonts w:hint="eastAsia"/>
                <w:lang w:val="en-US" w:eastAsia="zh-CN"/>
              </w:rPr>
              <w:t>无异常气味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pH（</w:t>
            </w:r>
            <w:r>
              <w:rPr>
                <w:rFonts w:hint="eastAsia" w:ascii="Times New Roman"/>
                <w:sz w:val="18"/>
                <w:szCs w:val="18"/>
                <w:lang w:val="en-US" w:eastAsia="zh-CN"/>
              </w:rPr>
              <w:t>10</w:t>
            </w:r>
            <w:r>
              <w:rPr>
                <w:rFonts w:ascii="Times New Roman"/>
                <w:sz w:val="18"/>
                <w:szCs w:val="18"/>
              </w:rPr>
              <w:t>%水溶液，25℃）</w:t>
            </w:r>
          </w:p>
        </w:tc>
        <w:tc>
          <w:tcPr>
            <w:tcW w:w="4450" w:type="dxa"/>
          </w:tcPr>
          <w:p>
            <w:pPr>
              <w:pStyle w:val="21"/>
              <w:tabs>
                <w:tab w:val="left" w:pos="3554"/>
                <w:tab w:val="clear" w:pos="4201"/>
              </w:tabs>
              <w:ind w:firstLine="0" w:firstLineChars="0"/>
              <w:jc w:val="center"/>
              <w:rPr>
                <w:rFonts w:ascii="Times New Roman"/>
                <w:sz w:val="18"/>
                <w:szCs w:val="18"/>
              </w:rPr>
            </w:pPr>
            <w:r>
              <w:rPr>
                <w:rFonts w:hint="eastAsia" w:ascii="Times New Roman"/>
                <w:sz w:val="18"/>
                <w:szCs w:val="18"/>
                <w:lang w:val="en-US" w:eastAsia="zh-CN"/>
              </w:rPr>
              <w:t>7</w:t>
            </w:r>
            <w:r>
              <w:rPr>
                <w:rFonts w:ascii="Times New Roman"/>
                <w:sz w:val="18"/>
                <w:szCs w:val="18"/>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hint="eastAsia" w:ascii="Times New Roman"/>
                <w:sz w:val="18"/>
                <w:szCs w:val="18"/>
              </w:rPr>
              <w:t>总活性物/%</w:t>
            </w:r>
          </w:p>
        </w:tc>
        <w:tc>
          <w:tcPr>
            <w:tcW w:w="4450" w:type="dxa"/>
          </w:tcPr>
          <w:p>
            <w:pPr>
              <w:pStyle w:val="21"/>
              <w:tabs>
                <w:tab w:val="left" w:pos="3554"/>
                <w:tab w:val="clear" w:pos="4201"/>
              </w:tabs>
              <w:ind w:firstLine="0" w:firstLineChars="0"/>
              <w:jc w:val="center"/>
              <w:rPr>
                <w:rFonts w:hint="default" w:ascii="Times New Roman" w:eastAsia="宋体"/>
                <w:sz w:val="18"/>
                <w:szCs w:val="18"/>
                <w:lang w:val="en-US" w:eastAsia="zh-CN"/>
              </w:rPr>
            </w:pPr>
            <w:r>
              <w:rPr>
                <w:rFonts w:hint="eastAsia" w:ascii="宋体" w:hAnsi="宋体" w:eastAsia="宋体" w:cs="宋体"/>
                <w:sz w:val="18"/>
                <w:szCs w:val="18"/>
              </w:rPr>
              <w:t>≥</w:t>
            </w:r>
            <w:r>
              <w:rPr>
                <w:rFonts w:hint="eastAsia" w:ascii="Times New Roman" w:cs="Times New Roman"/>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hint="eastAsia" w:ascii="Times New Roman"/>
                <w:sz w:val="18"/>
                <w:szCs w:val="18"/>
                <w:lang w:val="en-US" w:eastAsia="zh-CN"/>
              </w:rPr>
              <w:t>氯化钠</w:t>
            </w:r>
            <w:r>
              <w:rPr>
                <w:rFonts w:hint="eastAsia" w:ascii="Times New Roman"/>
                <w:sz w:val="18"/>
                <w:szCs w:val="18"/>
              </w:rPr>
              <w:t xml:space="preserve"> /%</w:t>
            </w:r>
          </w:p>
        </w:tc>
        <w:tc>
          <w:tcPr>
            <w:tcW w:w="4450" w:type="dxa"/>
          </w:tcPr>
          <w:p>
            <w:pPr>
              <w:pStyle w:val="21"/>
              <w:tabs>
                <w:tab w:val="left" w:pos="3554"/>
                <w:tab w:val="clear" w:pos="4201"/>
              </w:tabs>
              <w:ind w:firstLine="0" w:firstLineChars="0"/>
              <w:jc w:val="center"/>
              <w:rPr>
                <w:rFonts w:ascii="Times New Roman"/>
                <w:sz w:val="18"/>
                <w:szCs w:val="18"/>
              </w:rPr>
            </w:pPr>
            <w:r>
              <w:rPr>
                <w:rFonts w:hint="eastAsia" w:ascii="宋体" w:hAnsi="宋体" w:eastAsia="宋体" w:cs="宋体"/>
                <w:sz w:val="18"/>
                <w:szCs w:val="18"/>
              </w:rPr>
              <w:t>≤</w:t>
            </w:r>
            <w:r>
              <w:rPr>
                <w:rFonts w:asci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pStyle w:val="21"/>
              <w:tabs>
                <w:tab w:val="left" w:pos="3554"/>
                <w:tab w:val="clear" w:pos="4201"/>
              </w:tabs>
              <w:ind w:firstLine="0" w:firstLineChars="0"/>
              <w:jc w:val="center"/>
              <w:rPr>
                <w:rFonts w:hint="default" w:ascii="Times New Roman"/>
                <w:sz w:val="18"/>
                <w:szCs w:val="18"/>
                <w:lang w:val="en-US" w:eastAsia="zh-CN"/>
              </w:rPr>
            </w:pPr>
            <w:r>
              <w:rPr>
                <w:rFonts w:hint="eastAsia" w:ascii="Times New Roman"/>
                <w:sz w:val="18"/>
                <w:szCs w:val="18"/>
                <w:lang w:val="en-US" w:eastAsia="zh-CN"/>
              </w:rPr>
              <w:t>色泽/Hazen</w:t>
            </w:r>
          </w:p>
        </w:tc>
        <w:tc>
          <w:tcPr>
            <w:tcW w:w="4450" w:type="dxa"/>
          </w:tcPr>
          <w:p>
            <w:pPr>
              <w:pStyle w:val="21"/>
              <w:tabs>
                <w:tab w:val="left" w:pos="3554"/>
                <w:tab w:val="clear" w:pos="4201"/>
              </w:tabs>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rPr>
              <w:t>≤</w:t>
            </w:r>
            <w:r>
              <w:rPr>
                <w:rFonts w:hint="eastAsia" w:hAnsi="宋体" w:cs="宋体"/>
                <w:sz w:val="18"/>
                <w:szCs w:val="18"/>
                <w:lang w:val="en-US" w:eastAsia="zh-CN"/>
              </w:rPr>
              <w:t>100</w:t>
            </w:r>
          </w:p>
        </w:tc>
      </w:tr>
    </w:tbl>
    <w:p>
      <w:pPr>
        <w:pStyle w:val="21"/>
        <w:rPr>
          <w:rFonts w:hint="eastAsia"/>
          <w:lang w:val="en-US" w:eastAsia="zh-CN"/>
        </w:rPr>
      </w:pPr>
    </w:p>
    <w:p>
      <w:pPr>
        <w:pStyle w:val="21"/>
        <w:spacing w:line="300" w:lineRule="auto"/>
        <w:rPr>
          <w:rFonts w:hint="default" w:eastAsia="宋体"/>
          <w:lang w:val="en-US" w:eastAsia="zh-CN"/>
        </w:rPr>
      </w:pPr>
    </w:p>
    <w:p>
      <w:pPr>
        <w:pStyle w:val="40"/>
        <w:rPr>
          <w:rFonts w:hint="default" w:eastAsia="黑体"/>
          <w:lang w:val="en-US" w:eastAsia="zh-CN"/>
        </w:rPr>
      </w:pPr>
      <w:r>
        <w:rPr>
          <w:rFonts w:hint="eastAsia"/>
          <w:lang w:val="en-US" w:eastAsia="zh-CN"/>
        </w:rPr>
        <w:t>5</w:t>
      </w:r>
      <w:r>
        <w:rPr>
          <w:rFonts w:hint="eastAsia"/>
        </w:rPr>
        <w:t>.2</w:t>
      </w:r>
      <w:r>
        <w:rPr>
          <w:rFonts w:hint="eastAsia"/>
          <w:lang w:val="en-US" w:eastAsia="zh-CN"/>
        </w:rPr>
        <w:t xml:space="preserve"> 微生物学指标</w:t>
      </w:r>
    </w:p>
    <w:p>
      <w:pPr>
        <w:pStyle w:val="21"/>
        <w:tabs>
          <w:tab w:val="left" w:pos="3554"/>
          <w:tab w:val="clear" w:pos="4201"/>
        </w:tabs>
        <w:ind w:left="0" w:leftChars="0" w:firstLine="420" w:firstLineChars="200"/>
        <w:rPr>
          <w:rFonts w:hint="eastAsia"/>
          <w:lang w:val="en-US" w:eastAsia="zh-CN"/>
        </w:rPr>
      </w:pPr>
      <w:r>
        <w:rPr>
          <w:rFonts w:hint="eastAsia"/>
          <w:lang w:val="en-US" w:eastAsia="zh-CN"/>
        </w:rPr>
        <w:t>化妆品用谷氨酸型表面活性剂在满足表1的理化指标要求外，还应满足表2的微生物学指标要求</w:t>
      </w:r>
      <w:r>
        <w:rPr>
          <w:rFonts w:hint="eastAsia"/>
        </w:rPr>
        <w:t>。</w:t>
      </w:r>
    </w:p>
    <w:p>
      <w:pPr>
        <w:pStyle w:val="21"/>
        <w:tabs>
          <w:tab w:val="left" w:pos="3554"/>
          <w:tab w:val="clear" w:pos="4201"/>
        </w:tabs>
        <w:ind w:firstLine="0" w:firstLineChars="0"/>
        <w:jc w:val="center"/>
      </w:pPr>
      <w:r>
        <w:rPr>
          <w:rFonts w:hint="eastAsia" w:ascii="黑体" w:hAnsi="黑体" w:eastAsia="黑体" w:cs="黑体"/>
        </w:rPr>
        <w:t>表</w:t>
      </w:r>
      <w:r>
        <w:rPr>
          <w:rFonts w:hint="eastAsia" w:ascii="黑体" w:hAnsi="黑体" w:eastAsia="黑体" w:cs="黑体"/>
          <w:lang w:val="en-US" w:eastAsia="zh-CN"/>
        </w:rPr>
        <w:t>2 微生物</w:t>
      </w:r>
      <w:r>
        <w:rPr>
          <w:rFonts w:hint="eastAsia" w:ascii="黑体" w:hAnsi="黑体" w:eastAsia="黑体" w:cs="黑体"/>
        </w:rPr>
        <w:t>指标要求</w:t>
      </w:r>
    </w:p>
    <w:tbl>
      <w:tblPr>
        <w:tblStyle w:val="29"/>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3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53"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项目</w:t>
            </w:r>
          </w:p>
        </w:tc>
        <w:tc>
          <w:tcPr>
            <w:tcW w:w="3872" w:type="dxa"/>
            <w:vAlign w:val="center"/>
          </w:tcPr>
          <w:p>
            <w:pPr>
              <w:pStyle w:val="21"/>
              <w:tabs>
                <w:tab w:val="left" w:pos="3554"/>
                <w:tab w:val="clear" w:pos="4201"/>
              </w:tabs>
              <w:ind w:firstLine="0" w:firstLineChars="0"/>
              <w:jc w:val="center"/>
              <w:rPr>
                <w:rFonts w:ascii="Times New Roman"/>
                <w:sz w:val="18"/>
                <w:szCs w:val="18"/>
              </w:rPr>
            </w:pPr>
            <w:r>
              <w:rPr>
                <w:rFonts w:ascii="Times New Roman"/>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53" w:type="dxa"/>
            <w:vAlign w:val="center"/>
          </w:tcPr>
          <w:p>
            <w:pPr>
              <w:pStyle w:val="21"/>
              <w:tabs>
                <w:tab w:val="left" w:pos="3554"/>
                <w:tab w:val="clear" w:pos="4201"/>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菌落总数/（CFU/g）</w:t>
            </w:r>
          </w:p>
        </w:tc>
        <w:tc>
          <w:tcPr>
            <w:tcW w:w="3872" w:type="dxa"/>
            <w:vAlign w:val="center"/>
          </w:tcPr>
          <w:p>
            <w:pPr>
              <w:pStyle w:val="21"/>
              <w:ind w:left="0" w:leftChars="0" w:firstLine="0" w:firstLineChars="0"/>
              <w:jc w:val="center"/>
              <w:rPr>
                <w:rFonts w:hint="default" w:ascii="Times New Roman" w:eastAsia="宋体"/>
                <w:sz w:val="18"/>
                <w:szCs w:val="18"/>
                <w:lang w:val="en-US" w:eastAsia="zh-CN"/>
              </w:rPr>
            </w:pPr>
            <w:r>
              <w:rPr>
                <w:rFonts w:hint="eastAsia" w:ascii="宋体" w:hAnsi="宋体" w:eastAsia="宋体" w:cs="宋体"/>
                <w:sz w:val="18"/>
                <w:szCs w:val="18"/>
              </w:rPr>
              <w:t>≤</w:t>
            </w:r>
            <w:r>
              <w:rPr>
                <w:rFonts w:hint="eastAsia" w:hAnsi="宋体" w:cs="宋体"/>
                <w:sz w:val="18"/>
                <w:szCs w:val="1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353" w:type="dxa"/>
            <w:vAlign w:val="center"/>
          </w:tcPr>
          <w:p>
            <w:pPr>
              <w:pStyle w:val="21"/>
              <w:tabs>
                <w:tab w:val="left" w:pos="3554"/>
                <w:tab w:val="clear" w:pos="4201"/>
              </w:tabs>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霉菌和酵母菌总数/（CFU/g）</w:t>
            </w:r>
          </w:p>
        </w:tc>
        <w:tc>
          <w:tcPr>
            <w:tcW w:w="3872" w:type="dxa"/>
            <w:vAlign w:val="center"/>
          </w:tcPr>
          <w:p>
            <w:pPr>
              <w:pStyle w:val="21"/>
              <w:tabs>
                <w:tab w:val="left" w:pos="3554"/>
                <w:tab w:val="clear" w:pos="4201"/>
              </w:tabs>
              <w:ind w:firstLine="0" w:firstLineChars="0"/>
              <w:jc w:val="center"/>
              <w:rPr>
                <w:rFonts w:hint="default" w:ascii="Times New Roman" w:eastAsia="宋体"/>
                <w:sz w:val="18"/>
                <w:szCs w:val="18"/>
                <w:lang w:val="en-US" w:eastAsia="zh-CN"/>
              </w:rPr>
            </w:pPr>
            <w:r>
              <w:rPr>
                <w:rFonts w:hint="eastAsia" w:ascii="宋体" w:hAnsi="宋体" w:eastAsia="宋体" w:cs="宋体"/>
                <w:sz w:val="18"/>
                <w:szCs w:val="18"/>
              </w:rPr>
              <w:t>≤</w:t>
            </w:r>
            <w:r>
              <w:rPr>
                <w:rFonts w:hint="eastAsia" w:hAns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353" w:type="dxa"/>
            <w:vAlign w:val="center"/>
          </w:tcPr>
          <w:p>
            <w:pPr>
              <w:pStyle w:val="21"/>
              <w:tabs>
                <w:tab w:val="left" w:pos="3554"/>
                <w:tab w:val="clear" w:pos="4201"/>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耐热大肠菌群/g</w:t>
            </w:r>
          </w:p>
        </w:tc>
        <w:tc>
          <w:tcPr>
            <w:tcW w:w="3872" w:type="dxa"/>
          </w:tcPr>
          <w:p>
            <w:pPr>
              <w:ind w:firstLine="0" w:firstLineChars="0"/>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53" w:type="dxa"/>
            <w:vAlign w:val="center"/>
          </w:tcPr>
          <w:p>
            <w:pPr>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铜绿假单胞菌</w:t>
            </w:r>
            <w:r>
              <w:rPr>
                <w:rFonts w:hint="eastAsia" w:ascii="Times New Roman"/>
                <w:sz w:val="18"/>
                <w:szCs w:val="18"/>
                <w:lang w:val="en-US" w:eastAsia="zh-CN"/>
              </w:rPr>
              <w:t>/g</w:t>
            </w:r>
          </w:p>
        </w:tc>
        <w:tc>
          <w:tcPr>
            <w:tcW w:w="3872" w:type="dxa"/>
          </w:tcPr>
          <w:p>
            <w:pPr>
              <w:ind w:firstLine="0" w:firstLineChars="0"/>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vAlign w:val="center"/>
          </w:tcPr>
          <w:p>
            <w:pPr>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金黄色葡萄球菌</w:t>
            </w:r>
            <w:r>
              <w:rPr>
                <w:rFonts w:hint="eastAsia" w:ascii="Times New Roman"/>
                <w:sz w:val="18"/>
                <w:szCs w:val="18"/>
                <w:lang w:val="en-US" w:eastAsia="zh-CN"/>
              </w:rPr>
              <w:t>/g</w:t>
            </w:r>
          </w:p>
        </w:tc>
        <w:tc>
          <w:tcPr>
            <w:tcW w:w="3872" w:type="dxa"/>
          </w:tcPr>
          <w:p>
            <w:pPr>
              <w:ind w:firstLine="0" w:firstLineChars="0"/>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不得检出</w:t>
            </w:r>
          </w:p>
        </w:tc>
      </w:tr>
    </w:tbl>
    <w:p>
      <w:pPr>
        <w:pStyle w:val="21"/>
        <w:tabs>
          <w:tab w:val="left" w:pos="3554"/>
          <w:tab w:val="clear" w:pos="4201"/>
        </w:tabs>
        <w:ind w:left="0" w:leftChars="0" w:firstLine="420" w:firstLineChars="200"/>
        <w:rPr>
          <w:rFonts w:hint="eastAsia"/>
          <w:lang w:val="en-US" w:eastAsia="zh-CN"/>
        </w:rPr>
      </w:pPr>
    </w:p>
    <w:p>
      <w:pPr>
        <w:pStyle w:val="7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rPr>
        <w:tab/>
      </w:r>
      <w:r>
        <w:rPr>
          <w:rFonts w:hint="eastAsia"/>
        </w:rPr>
        <w:t>试验方法</w:t>
      </w:r>
    </w:p>
    <w:p>
      <w:pPr>
        <w:pStyle w:val="21"/>
      </w:pPr>
      <w:r>
        <w:rPr>
          <w:rFonts w:hint="eastAsia"/>
        </w:rPr>
        <w:t>除非另有说明，在分析中仅使用认可的分析纯试剂和蒸馏水或去离子水或相当纯度的水。</w:t>
      </w:r>
    </w:p>
    <w:p>
      <w:pPr>
        <w:pStyle w:val="40"/>
        <w:rPr>
          <w:rFonts w:hint="default" w:eastAsia="黑体"/>
          <w:lang w:val="en-US" w:eastAsia="zh-CN"/>
        </w:rPr>
      </w:pPr>
      <w:r>
        <w:rPr>
          <w:rFonts w:hint="eastAsia"/>
          <w:lang w:val="en-US" w:eastAsia="zh-CN"/>
        </w:rPr>
        <w:t>6</w:t>
      </w:r>
      <w:r>
        <w:t>.</w:t>
      </w:r>
      <w:r>
        <w:rPr>
          <w:rFonts w:hint="eastAsia"/>
          <w:lang w:val="en-US" w:eastAsia="zh-CN"/>
        </w:rPr>
        <w:t>1</w:t>
      </w:r>
      <w:r>
        <w:rPr>
          <w:rFonts w:hint="eastAsia"/>
        </w:rPr>
        <w:t>外观</w:t>
      </w:r>
      <w:r>
        <w:rPr>
          <w:rFonts w:hint="eastAsia"/>
          <w:lang w:eastAsia="zh-CN"/>
        </w:rPr>
        <w:t>、</w:t>
      </w:r>
      <w:r>
        <w:rPr>
          <w:rFonts w:hint="eastAsia"/>
          <w:lang w:val="en-US" w:eastAsia="zh-CN"/>
        </w:rPr>
        <w:t>气味</w:t>
      </w:r>
    </w:p>
    <w:p>
      <w:pPr>
        <w:pStyle w:val="21"/>
        <w:spacing w:line="300" w:lineRule="auto"/>
        <w:rPr>
          <w:rFonts w:hint="default"/>
          <w:lang w:val="en-US" w:eastAsia="zh-CN"/>
        </w:rPr>
      </w:pPr>
      <w:r>
        <w:rPr>
          <w:rFonts w:hint="eastAsia"/>
          <w:lang w:val="en-US" w:eastAsia="zh-CN"/>
        </w:rPr>
        <w:t>感官测定。</w:t>
      </w:r>
    </w:p>
    <w:p>
      <w:pPr>
        <w:pStyle w:val="40"/>
      </w:pPr>
      <w:r>
        <w:rPr>
          <w:rFonts w:hint="eastAsia"/>
          <w:lang w:val="en-US" w:eastAsia="zh-CN"/>
        </w:rPr>
        <w:t>6</w:t>
      </w:r>
      <w:r>
        <w:rPr>
          <w:rFonts w:hint="eastAsia"/>
        </w:rPr>
        <w:t>.</w:t>
      </w:r>
      <w:r>
        <w:rPr>
          <w:rFonts w:hint="eastAsia"/>
          <w:lang w:val="en-US" w:eastAsia="zh-CN"/>
        </w:rPr>
        <w:t xml:space="preserve">2 </w:t>
      </w:r>
      <w:r>
        <w:rPr>
          <w:rFonts w:hint="eastAsia"/>
        </w:rPr>
        <w:t>pH值</w:t>
      </w:r>
    </w:p>
    <w:p>
      <w:pPr>
        <w:pStyle w:val="21"/>
        <w:tabs>
          <w:tab w:val="left" w:pos="3854"/>
          <w:tab w:val="clear" w:pos="4201"/>
        </w:tabs>
      </w:pPr>
      <w:r>
        <w:rPr>
          <w:rFonts w:hint="eastAsia"/>
        </w:rPr>
        <w:t>按</w:t>
      </w:r>
      <w:r>
        <w:rPr>
          <w:rFonts w:hint="eastAsia" w:ascii="Times New Roman" w:hAnsi="Times New Roman" w:cs="Times New Roman"/>
          <w:szCs w:val="21"/>
        </w:rPr>
        <w:t>GB/T 6368</w:t>
      </w:r>
      <w:r>
        <w:rPr>
          <w:rFonts w:hint="eastAsia"/>
        </w:rPr>
        <w:t>的规定，将试样的10g/L溶液在电磁搅拌缓和搅拌下，保持25</w:t>
      </w:r>
      <w:r>
        <w:rPr>
          <w:rFonts w:hint="eastAsia" w:ascii="宋体" w:hAnsi="宋体"/>
        </w:rPr>
        <w:t>℃，测定其pH值</w:t>
      </w:r>
      <w:r>
        <w:rPr>
          <w:rFonts w:hint="eastAsia"/>
        </w:rPr>
        <w:t>。</w:t>
      </w:r>
    </w:p>
    <w:p>
      <w:pPr>
        <w:pStyle w:val="40"/>
      </w:pPr>
      <w:r>
        <w:rPr>
          <w:rFonts w:hint="eastAsia"/>
          <w:lang w:val="en-US" w:eastAsia="zh-CN"/>
        </w:rPr>
        <w:t>6</w:t>
      </w:r>
      <w:r>
        <w:rPr>
          <w:rFonts w:hint="eastAsia"/>
        </w:rPr>
        <w:t>.</w:t>
      </w:r>
      <w:r>
        <w:rPr>
          <w:rFonts w:hint="eastAsia"/>
          <w:lang w:val="en-US" w:eastAsia="zh-CN"/>
        </w:rPr>
        <w:t xml:space="preserve">3 </w:t>
      </w:r>
      <w:r>
        <w:rPr>
          <w:rFonts w:hint="eastAsia"/>
        </w:rPr>
        <w:t>总活性物</w:t>
      </w:r>
    </w:p>
    <w:p>
      <w:pPr>
        <w:pStyle w:val="21"/>
        <w:spacing w:line="300" w:lineRule="auto"/>
        <w:rPr>
          <w:kern w:val="2"/>
          <w:szCs w:val="21"/>
        </w:rPr>
      </w:pPr>
      <w:r>
        <w:rPr>
          <w:rFonts w:hint="eastAsia"/>
        </w:rPr>
        <w:t>按</w:t>
      </w:r>
      <w:r>
        <w:rPr>
          <w:rFonts w:hint="eastAsia" w:ascii="Times New Roman" w:hAnsi="Times New Roman" w:cs="Times New Roman"/>
          <w:szCs w:val="21"/>
        </w:rPr>
        <w:t>GB/T</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13173</w:t>
      </w:r>
      <w:r>
        <w:rPr>
          <w:rFonts w:hint="eastAsia" w:ascii="Times New Roman" w:hAnsi="Times New Roman" w:cs="Times New Roman"/>
          <w:szCs w:val="21"/>
          <w:lang w:val="en-US" w:eastAsia="zh-CN"/>
        </w:rPr>
        <w:t>中第7条规定的A法测定</w:t>
      </w:r>
      <w:r>
        <w:rPr>
          <w:rFonts w:hint="eastAsia" w:hAnsi="宋体"/>
          <w:color w:val="000000"/>
        </w:rPr>
        <w:t>。</w:t>
      </w:r>
    </w:p>
    <w:p>
      <w:pPr>
        <w:rPr>
          <w:rFonts w:hint="eastAsia" w:ascii="黑体" w:eastAsia="黑体"/>
          <w:bCs/>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4</w:t>
      </w:r>
      <w:r>
        <w:rPr>
          <w:rFonts w:hint="eastAsia" w:ascii="黑体" w:eastAsia="黑体"/>
          <w:bCs/>
        </w:rPr>
        <w:t xml:space="preserve"> 氯化钠含量的测定</w:t>
      </w:r>
    </w:p>
    <w:p>
      <w:pPr>
        <w:ind w:left="420" w:hanging="420" w:hangingChars="200"/>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.1 原理</w:t>
      </w:r>
    </w:p>
    <w:p>
      <w:pPr>
        <w:ind w:firstLine="420" w:firstLineChars="200"/>
        <w:rPr>
          <w:rFonts w:hint="eastAsia"/>
        </w:rPr>
      </w:pPr>
      <w:r>
        <w:rPr>
          <w:rFonts w:hint="eastAsia"/>
        </w:rPr>
        <w:t>试样的水溶液用硝酸或氢氧化钠溶液调节至中性，用银量法（莫尔法）测定氯化物含量，以氯化钠计算。</w:t>
      </w:r>
    </w:p>
    <w:p>
      <w:pPr>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.2 试剂</w:t>
      </w:r>
    </w:p>
    <w:p>
      <w:pPr>
        <w:numPr>
          <w:ilvl w:val="0"/>
          <w:numId w:val="0"/>
        </w:numPr>
        <w:tabs>
          <w:tab w:val="left" w:pos="840"/>
        </w:tabs>
        <w:rPr>
          <w:rFonts w:hint="eastAsia"/>
        </w:rPr>
      </w:pPr>
      <w:r>
        <w:rPr>
          <w:rFonts w:hint="eastAsia"/>
          <w:lang w:val="en-US" w:eastAsia="zh-CN"/>
        </w:rPr>
        <w:t xml:space="preserve">6.4.2.1 </w:t>
      </w:r>
      <w:r>
        <w:rPr>
          <w:rFonts w:hint="eastAsia"/>
        </w:rPr>
        <w:t>硝酸银，</w:t>
      </w:r>
      <w:r>
        <w:rPr>
          <w:rFonts w:hint="eastAsia"/>
          <w:i/>
        </w:rPr>
        <w:t>c</w:t>
      </w:r>
      <w:r>
        <w:rPr>
          <w:rFonts w:hint="eastAsia"/>
        </w:rPr>
        <w:t>(AgNO</w:t>
      </w:r>
      <w:r>
        <w:rPr>
          <w:rFonts w:hint="eastAsia"/>
          <w:vertAlign w:val="subscript"/>
        </w:rPr>
        <w:t>3</w:t>
      </w:r>
      <w:r>
        <w:rPr>
          <w:rFonts w:hint="eastAsia"/>
        </w:rPr>
        <w:t>)=0.1mol/L标准滴定溶液，按QB/T 2739中的规定配制和标定；</w:t>
      </w:r>
    </w:p>
    <w:p>
      <w:pPr>
        <w:numPr>
          <w:ilvl w:val="0"/>
          <w:numId w:val="0"/>
        </w:numPr>
        <w:tabs>
          <w:tab w:val="left" w:pos="840"/>
        </w:tabs>
        <w:rPr>
          <w:rFonts w:hint="eastAsia"/>
        </w:rPr>
      </w:pPr>
      <w:r>
        <w:rPr>
          <w:rFonts w:hint="eastAsia"/>
          <w:lang w:val="en-US" w:eastAsia="zh-CN"/>
        </w:rPr>
        <w:t xml:space="preserve">6.4.2.2 </w:t>
      </w:r>
      <w:r>
        <w:rPr>
          <w:rFonts w:hint="eastAsia"/>
        </w:rPr>
        <w:t>铬酸钾，5%溶液；</w:t>
      </w:r>
    </w:p>
    <w:p>
      <w:pPr>
        <w:numPr>
          <w:ilvl w:val="0"/>
          <w:numId w:val="0"/>
        </w:numPr>
        <w:tabs>
          <w:tab w:val="left" w:pos="840"/>
        </w:tabs>
        <w:rPr>
          <w:rFonts w:hint="eastAsia"/>
        </w:rPr>
      </w:pPr>
      <w:r>
        <w:rPr>
          <w:rFonts w:hint="eastAsia"/>
          <w:lang w:val="en-US" w:eastAsia="zh-CN"/>
        </w:rPr>
        <w:t xml:space="preserve">6.4.2.3 </w:t>
      </w:r>
      <w:r>
        <w:rPr>
          <w:rFonts w:hint="eastAsia"/>
        </w:rPr>
        <w:t>硝酸，</w:t>
      </w:r>
      <w:r>
        <w:rPr>
          <w:rFonts w:hint="eastAsia"/>
          <w:i/>
        </w:rPr>
        <w:t>c</w:t>
      </w:r>
      <w:r>
        <w:rPr>
          <w:rFonts w:hint="eastAsia"/>
        </w:rPr>
        <w:t>（HNO</w:t>
      </w:r>
      <w:r>
        <w:rPr>
          <w:rFonts w:hint="eastAsia"/>
          <w:vertAlign w:val="subscript"/>
        </w:rPr>
        <w:t>3</w:t>
      </w:r>
      <w:r>
        <w:rPr>
          <w:rFonts w:hint="eastAsia"/>
        </w:rPr>
        <w:t>）≈0.1mol/L溶液；</w:t>
      </w:r>
    </w:p>
    <w:p>
      <w:pPr>
        <w:numPr>
          <w:ilvl w:val="0"/>
          <w:numId w:val="0"/>
        </w:numPr>
        <w:tabs>
          <w:tab w:val="left" w:pos="840"/>
        </w:tabs>
        <w:rPr>
          <w:rFonts w:hint="eastAsia"/>
        </w:rPr>
      </w:pPr>
      <w:r>
        <w:rPr>
          <w:rFonts w:hint="eastAsia"/>
          <w:lang w:val="en-US" w:eastAsia="zh-CN"/>
        </w:rPr>
        <w:t xml:space="preserve">6.4.2.4 </w:t>
      </w:r>
      <w:r>
        <w:rPr>
          <w:rFonts w:hint="eastAsia"/>
        </w:rPr>
        <w:t>氢氧化钠，</w:t>
      </w:r>
      <w:r>
        <w:rPr>
          <w:rFonts w:hint="eastAsia"/>
          <w:i/>
        </w:rPr>
        <w:t>c</w:t>
      </w:r>
      <w:r>
        <w:rPr>
          <w:rFonts w:hint="eastAsia"/>
        </w:rPr>
        <w:t>(NaOH) ≈0.1 mol／L溶液；</w:t>
      </w:r>
    </w:p>
    <w:p>
      <w:pPr>
        <w:numPr>
          <w:ilvl w:val="0"/>
          <w:numId w:val="0"/>
        </w:numPr>
        <w:tabs>
          <w:tab w:val="left" w:pos="840"/>
        </w:tabs>
        <w:rPr>
          <w:rFonts w:hint="eastAsia"/>
        </w:rPr>
      </w:pPr>
      <w:r>
        <w:rPr>
          <w:rFonts w:hint="eastAsia"/>
          <w:lang w:val="en-US" w:eastAsia="zh-CN"/>
        </w:rPr>
        <w:t xml:space="preserve">6.4.2.5 </w:t>
      </w:r>
      <w:r>
        <w:rPr>
          <w:rFonts w:hint="eastAsia"/>
        </w:rPr>
        <w:t>酚酞，10 g/L</w:t>
      </w:r>
      <w:r>
        <w:rPr>
          <w:rFonts w:hint="eastAsia"/>
          <w:lang w:eastAsia="zh-CN"/>
        </w:rPr>
        <w:t>。</w:t>
      </w:r>
    </w:p>
    <w:p>
      <w:pPr>
        <w:ind w:left="420" w:hanging="420" w:hangingChars="200"/>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.3 仪器</w:t>
      </w:r>
    </w:p>
    <w:p>
      <w:pPr>
        <w:numPr>
          <w:ilvl w:val="0"/>
          <w:numId w:val="0"/>
        </w:numPr>
        <w:tabs>
          <w:tab w:val="left" w:pos="840"/>
        </w:tabs>
        <w:rPr>
          <w:rFonts w:hint="eastAsia"/>
        </w:rPr>
      </w:pPr>
      <w:r>
        <w:rPr>
          <w:rFonts w:hint="eastAsia"/>
          <w:lang w:val="en-US" w:eastAsia="zh-CN"/>
        </w:rPr>
        <w:t xml:space="preserve">6.4.3.1 </w:t>
      </w:r>
      <w:r>
        <w:rPr>
          <w:rFonts w:hint="eastAsia"/>
        </w:rPr>
        <w:t>锥形瓶，容量250 mL；</w:t>
      </w:r>
    </w:p>
    <w:p>
      <w:pPr>
        <w:numPr>
          <w:ilvl w:val="0"/>
          <w:numId w:val="0"/>
        </w:numPr>
        <w:tabs>
          <w:tab w:val="left" w:pos="840"/>
        </w:tabs>
        <w:rPr>
          <w:rFonts w:hint="eastAsia"/>
        </w:rPr>
      </w:pPr>
      <w:r>
        <w:rPr>
          <w:rFonts w:hint="eastAsia"/>
          <w:lang w:val="en-US" w:eastAsia="zh-CN"/>
        </w:rPr>
        <w:t xml:space="preserve">6.4.3.2 </w:t>
      </w:r>
      <w:r>
        <w:rPr>
          <w:rFonts w:hint="eastAsia"/>
        </w:rPr>
        <w:t>棕色具塞滴定管，50 mL。</w:t>
      </w:r>
    </w:p>
    <w:p>
      <w:pPr>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.4试验程序</w:t>
      </w:r>
    </w:p>
    <w:p>
      <w:pPr>
        <w:ind w:firstLine="420" w:firstLineChars="200"/>
        <w:rPr>
          <w:rFonts w:hint="eastAsia"/>
        </w:rPr>
      </w:pPr>
      <w:r>
        <w:rPr>
          <w:rFonts w:hint="eastAsia"/>
        </w:rPr>
        <w:t>称取5 g试样(称准至0.001g)于锥形瓶(</w:t>
      </w:r>
      <w:r>
        <w:rPr>
          <w:rFonts w:hint="eastAsia"/>
          <w:lang w:val="en-US" w:eastAsia="zh-CN"/>
        </w:rPr>
        <w:t>6.4.3.1</w:t>
      </w:r>
      <w:r>
        <w:rPr>
          <w:rFonts w:hint="eastAsia"/>
        </w:rPr>
        <w:t>)中。加入50 mL水溶解，加入2滴酚酞指示液(</w:t>
      </w:r>
      <w:r>
        <w:rPr>
          <w:rFonts w:hint="eastAsia"/>
          <w:lang w:val="en-US" w:eastAsia="zh-CN"/>
        </w:rPr>
        <w:t>6.4.2.5</w:t>
      </w:r>
      <w:r>
        <w:rPr>
          <w:rFonts w:hint="eastAsia"/>
        </w:rPr>
        <w:t>)，如显红色，即用硝酸溶液(</w:t>
      </w:r>
      <w:r>
        <w:rPr>
          <w:rFonts w:hint="eastAsia"/>
          <w:lang w:val="en-US" w:eastAsia="zh-CN"/>
        </w:rPr>
        <w:t>6.4.3.2</w:t>
      </w:r>
      <w:r>
        <w:rPr>
          <w:rFonts w:hint="eastAsia"/>
        </w:rPr>
        <w:t>)中和至红色消失。如果不显红色，则用氢氧化钠溶液(</w:t>
      </w:r>
      <w:r>
        <w:rPr>
          <w:rFonts w:hint="eastAsia"/>
          <w:lang w:val="en-US" w:eastAsia="zh-CN"/>
        </w:rPr>
        <w:t>6.4.2.4</w:t>
      </w:r>
      <w:r>
        <w:rPr>
          <w:rFonts w:hint="eastAsia"/>
        </w:rPr>
        <w:t>)中和至微红色，再用硝酸溶液(</w:t>
      </w:r>
      <w:r>
        <w:rPr>
          <w:rFonts w:hint="eastAsia"/>
          <w:lang w:val="en-US" w:eastAsia="zh-CN"/>
        </w:rPr>
        <w:t>6.4.2.3</w:t>
      </w:r>
      <w:r>
        <w:rPr>
          <w:rFonts w:hint="eastAsia"/>
        </w:rPr>
        <w:t>)中和至无色。然后加入1 mL铬酸钾溶液(</w:t>
      </w:r>
      <w:r>
        <w:rPr>
          <w:rFonts w:hint="eastAsia"/>
          <w:lang w:val="en-US" w:eastAsia="zh-CN"/>
        </w:rPr>
        <w:t>6.4.2.2</w:t>
      </w:r>
      <w:r>
        <w:rPr>
          <w:rFonts w:hint="eastAsia"/>
        </w:rPr>
        <w:t>)，用硝酸银标准滴定溶液(</w:t>
      </w:r>
      <w:r>
        <w:rPr>
          <w:rFonts w:hint="eastAsia"/>
          <w:lang w:val="en-US" w:eastAsia="zh-CN"/>
        </w:rPr>
        <w:t>6.4.2.1</w:t>
      </w:r>
      <w:r>
        <w:rPr>
          <w:rFonts w:hint="eastAsia"/>
        </w:rPr>
        <w:t>)滴定至溶液由黄色变为橙色为终点。记下所用硝酸银溶液的体积(</w:t>
      </w:r>
      <w:r>
        <w:rPr>
          <w:rFonts w:hint="eastAsia"/>
          <w:i/>
        </w:rPr>
        <w:t>V</w:t>
      </w:r>
      <w:r>
        <w:rPr>
          <w:rFonts w:hint="eastAsia"/>
        </w:rPr>
        <w:t>)。</w:t>
      </w:r>
    </w:p>
    <w:p>
      <w:pPr>
        <w:rPr>
          <w:rFonts w:hint="eastAsia" w:ascii="黑体" w:eastAsia="黑体"/>
        </w:rPr>
      </w:pPr>
      <w:r>
        <w:rPr>
          <w:rFonts w:hint="eastAsia" w:ascii="黑体" w:eastAsia="黑体"/>
          <w:lang w:val="en-US" w:eastAsia="zh-CN"/>
        </w:rPr>
        <w:t>6</w:t>
      </w:r>
      <w:r>
        <w:rPr>
          <w:rFonts w:hint="eastAsia" w:ascii="黑体" w:eastAsia="黑体"/>
        </w:rPr>
        <w:t>.</w:t>
      </w:r>
      <w:r>
        <w:rPr>
          <w:rFonts w:hint="eastAsia" w:ascii="黑体" w:eastAsia="黑体"/>
          <w:lang w:val="en-US" w:eastAsia="zh-CN"/>
        </w:rPr>
        <w:t>4</w:t>
      </w:r>
      <w:r>
        <w:rPr>
          <w:rFonts w:hint="eastAsia" w:ascii="黑体" w:eastAsia="黑体"/>
        </w:rPr>
        <w:t>.5结果计算</w:t>
      </w:r>
    </w:p>
    <w:p>
      <w:pPr>
        <w:ind w:left="420" w:leftChars="200"/>
        <w:rPr>
          <w:rFonts w:hint="eastAsia"/>
        </w:rPr>
      </w:pPr>
      <w:r>
        <w:rPr>
          <w:rFonts w:hint="eastAsia"/>
        </w:rPr>
        <w:t>氯化钠含量</w:t>
      </w:r>
      <w:r>
        <w:rPr>
          <w:rFonts w:hint="eastAsia"/>
          <w:lang w:eastAsia="zh-CN"/>
        </w:rPr>
        <w:t>（</w:t>
      </w:r>
      <w:r>
        <w:rPr>
          <w:rFonts w:hint="eastAsia"/>
          <w:i/>
          <w:iCs/>
          <w:lang w:val="en-US" w:eastAsia="zh-CN"/>
        </w:rPr>
        <w:t>X</w:t>
      </w:r>
      <w:r>
        <w:rPr>
          <w:rFonts w:hint="eastAsia"/>
          <w:lang w:eastAsia="zh-CN"/>
        </w:rPr>
        <w:t>）</w:t>
      </w:r>
      <w:r>
        <w:rPr>
          <w:rFonts w:hint="eastAsia"/>
        </w:rPr>
        <w:t>以质量分数表示，按式</w:t>
      </w:r>
      <w:r>
        <w:rPr>
          <w:rFonts w:hint="eastAsia"/>
          <w:lang w:eastAsia="zh-CN"/>
        </w:rPr>
        <w:t>（</w:t>
      </w:r>
      <w:r>
        <w:rPr>
          <w:rFonts w:hint="eastAsia"/>
          <w:lang w:val="en-US" w:eastAsia="zh-CN"/>
        </w:rPr>
        <w:t>1</w:t>
      </w:r>
      <w:r>
        <w:rPr>
          <w:rFonts w:hint="eastAsia"/>
          <w:lang w:eastAsia="zh-CN"/>
        </w:rPr>
        <w:t>）</w:t>
      </w:r>
      <w:r>
        <w:rPr>
          <w:rFonts w:hint="eastAsia"/>
        </w:rPr>
        <w:t>计算：</w:t>
      </w:r>
    </w:p>
    <w:p>
      <w:pPr>
        <w:ind w:left="420" w:hanging="420" w:hangingChars="200"/>
        <w:jc w:val="right"/>
        <w:rPr>
          <w:rFonts w:hint="eastAsia"/>
        </w:rPr>
      </w:pPr>
      <w:r>
        <w:rPr>
          <w:position w:val="-32"/>
        </w:rPr>
        <w:object>
          <v:shape id="_x0000_i1025" o:spt="75" type="#_x0000_t75" style="height:35pt;width:113.95pt;" o:ole="t" filled="f" o:preferrelative="t"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rPr>
        <w:t xml:space="preserve">    …………………………………（5）</w:t>
      </w:r>
    </w:p>
    <w:p>
      <w:pPr>
        <w:ind w:left="420" w:leftChars="200" w:right="420"/>
        <w:rPr>
          <w:rFonts w:hint="eastAsia"/>
        </w:rPr>
      </w:pPr>
      <w:r>
        <w:rPr>
          <w:rFonts w:hint="eastAsia"/>
        </w:rPr>
        <w:t>式中：</w:t>
      </w:r>
    </w:p>
    <w:p>
      <w:pPr>
        <w:ind w:left="420" w:leftChars="200"/>
        <w:rPr>
          <w:rFonts w:hint="eastAsia"/>
        </w:rPr>
      </w:pPr>
      <w:r>
        <w:rPr>
          <w:rFonts w:hint="eastAsia"/>
          <w:i/>
        </w:rPr>
        <w:t>c</w:t>
      </w:r>
      <w:r>
        <w:rPr>
          <w:rFonts w:hint="eastAsia"/>
        </w:rPr>
        <w:t>——硝酸银标准滴定溶液的浓度，单位为摩尔每升（mol/L）；</w:t>
      </w:r>
    </w:p>
    <w:p>
      <w:pPr>
        <w:ind w:firstLine="420" w:firstLineChars="200"/>
        <w:rPr>
          <w:rFonts w:hint="eastAsia"/>
        </w:rPr>
      </w:pPr>
      <w:r>
        <w:rPr>
          <w:rFonts w:hint="eastAsia"/>
          <w:i/>
        </w:rPr>
        <w:t>V</w:t>
      </w:r>
      <w:r>
        <w:rPr>
          <w:rFonts w:hint="eastAsia"/>
        </w:rPr>
        <w:t>——滴定耗用的硝酸银标准滴定溶液的体积，单位为毫升（mL）；</w:t>
      </w:r>
    </w:p>
    <w:p>
      <w:pPr>
        <w:ind w:firstLine="420" w:firstLineChars="200"/>
        <w:rPr>
          <w:rFonts w:hint="eastAsia"/>
        </w:rPr>
      </w:pPr>
      <w:r>
        <w:rPr>
          <w:rFonts w:hint="eastAsia"/>
          <w:i/>
        </w:rPr>
        <w:t>m</w:t>
      </w:r>
      <w:r>
        <w:rPr>
          <w:rFonts w:hint="eastAsia"/>
        </w:rPr>
        <w:t>——试样的质量，单位为克（g）；</w:t>
      </w:r>
    </w:p>
    <w:p>
      <w:pPr>
        <w:ind w:firstLine="420" w:firstLineChars="200"/>
        <w:rPr>
          <w:rFonts w:hint="eastAsia"/>
        </w:rPr>
      </w:pPr>
      <w:r>
        <w:rPr>
          <w:rFonts w:hint="eastAsia"/>
        </w:rPr>
        <w:t>0.0585——氯化钠的毫摩尔相对分子质量，单位为克每毫摩尔（g/mmol）。</w:t>
      </w:r>
    </w:p>
    <w:p>
      <w:pPr>
        <w:ind w:firstLine="420" w:firstLineChars="200"/>
        <w:rPr>
          <w:rFonts w:hint="eastAsia"/>
        </w:rPr>
      </w:pPr>
      <w:r>
        <w:rPr>
          <w:rFonts w:hint="eastAsia"/>
        </w:rPr>
        <w:t>结果以算术平均值表示至小数点后一位。</w:t>
      </w:r>
    </w:p>
    <w:p>
      <w:pPr>
        <w:pStyle w:val="40"/>
        <w:ind w:firstLine="420" w:firstLineChars="200"/>
      </w:pPr>
      <w:r>
        <w:rPr>
          <w:rFonts w:hint="eastAsia" w:ascii="宋体" w:hAnsi="宋体" w:eastAsia="宋体" w:cs="宋体"/>
        </w:rPr>
        <w:t>在重复性条件下获得的两次独立测定结果的绝对差值不大于</w:t>
      </w:r>
      <w:r>
        <w:rPr>
          <w:rFonts w:hint="default" w:ascii="Times New Roman" w:hAnsi="Times New Roman" w:eastAsia="宋体" w:cs="Times New Roman"/>
        </w:rPr>
        <w:t>0.03％</w:t>
      </w:r>
      <w:r>
        <w:rPr>
          <w:rFonts w:hint="eastAsia" w:ascii="宋体" w:hAnsi="宋体" w:eastAsia="宋体" w:cs="宋体"/>
        </w:rPr>
        <w:t>，以大于</w:t>
      </w:r>
      <w:r>
        <w:rPr>
          <w:rFonts w:hint="default" w:ascii="Times New Roman" w:hAnsi="Times New Roman" w:eastAsia="宋体" w:cs="Times New Roman"/>
        </w:rPr>
        <w:t>0.03％</w:t>
      </w:r>
      <w:r>
        <w:rPr>
          <w:rFonts w:hint="eastAsia" w:ascii="宋体" w:hAnsi="宋体" w:eastAsia="宋体" w:cs="宋体"/>
        </w:rPr>
        <w:t>的情况不超过5％为前提。</w:t>
      </w:r>
    </w:p>
    <w:p>
      <w:pPr>
        <w:pStyle w:val="40"/>
        <w:rPr>
          <w:rFonts w:hint="eastAsia" w:hAnsi="黑体" w:cs="宋体"/>
          <w:lang w:val="en-US" w:eastAsia="zh-CN"/>
        </w:rPr>
      </w:pPr>
      <w:r>
        <w:rPr>
          <w:rFonts w:hint="eastAsia" w:hAnsi="黑体" w:cs="宋体"/>
          <w:lang w:val="en-US" w:eastAsia="zh-CN"/>
        </w:rPr>
        <w:t>6</w:t>
      </w:r>
      <w:r>
        <w:rPr>
          <w:rFonts w:hint="eastAsia" w:hAnsi="黑体" w:cs="宋体"/>
        </w:rPr>
        <w:t>.</w:t>
      </w:r>
      <w:r>
        <w:rPr>
          <w:rFonts w:hint="eastAsia" w:hAnsi="黑体" w:cs="宋体"/>
          <w:lang w:val="en-US" w:eastAsia="zh-CN"/>
        </w:rPr>
        <w:t>5 色泽</w:t>
      </w:r>
    </w:p>
    <w:p>
      <w:pPr>
        <w:pStyle w:val="21"/>
        <w:rPr>
          <w:rFonts w:hint="eastAsia"/>
          <w:lang w:val="en-US" w:eastAsia="zh-CN"/>
        </w:rPr>
      </w:pPr>
      <w:r>
        <w:rPr>
          <w:rFonts w:hint="eastAsia"/>
          <w:lang w:val="en-US" w:eastAsia="zh-CN"/>
        </w:rPr>
        <w:t>按GB/T 3143规定采用原液直接进行测定。</w:t>
      </w:r>
    </w:p>
    <w:p>
      <w:pPr>
        <w:pStyle w:val="21"/>
        <w:keepNext w:val="0"/>
        <w:keepLines w:val="0"/>
        <w:pageBreakBefore w:val="0"/>
        <w:widowControl/>
        <w:kinsoku/>
        <w:wordWrap/>
        <w:overflowPunct/>
        <w:topLinePunct w:val="0"/>
        <w:autoSpaceDE w:val="0"/>
        <w:autoSpaceDN w:val="0"/>
        <w:bidi w:val="0"/>
        <w:adjustRightInd/>
        <w:snapToGrid/>
        <w:spacing w:after="157" w:afterLines="50"/>
        <w:textAlignment w:val="auto"/>
        <w:rPr>
          <w:rFonts w:hint="eastAsia"/>
          <w:lang w:val="en-US" w:eastAsia="zh-CN"/>
        </w:rPr>
      </w:pPr>
      <w:r>
        <w:rPr>
          <w:rFonts w:hint="eastAsia"/>
          <w:lang w:val="en-US" w:eastAsia="zh-CN"/>
        </w:rPr>
        <w:t>在重复性条件下获得的两次独立的测定，结果之间的绝对差值应不大于</w:t>
      </w:r>
      <w:r>
        <w:rPr>
          <w:rFonts w:hint="default" w:ascii="Times New Roman" w:hAnsi="Times New Roman" w:cs="Times New Roman"/>
          <w:lang w:val="en-US" w:eastAsia="zh-CN"/>
        </w:rPr>
        <w:t>5Hazen</w:t>
      </w:r>
      <w:r>
        <w:rPr>
          <w:rFonts w:hint="eastAsia"/>
          <w:lang w:val="en-US" w:eastAsia="zh-CN"/>
        </w:rPr>
        <w:t>，以大于</w:t>
      </w:r>
      <w:r>
        <w:rPr>
          <w:rFonts w:hint="default" w:ascii="Times New Roman" w:hAnsi="Times New Roman" w:cs="Times New Roman"/>
          <w:lang w:val="en-US" w:eastAsia="zh-CN"/>
        </w:rPr>
        <w:t>5Hazen</w:t>
      </w:r>
      <w:r>
        <w:rPr>
          <w:rFonts w:hint="eastAsia"/>
          <w:lang w:val="en-US" w:eastAsia="zh-CN"/>
        </w:rPr>
        <w:t>的</w:t>
      </w:r>
      <w:r>
        <w:rPr>
          <w:rFonts w:hint="eastAsia" w:ascii="宋体" w:hAnsi="宋体" w:eastAsia="宋体" w:cs="宋体"/>
          <w:sz w:val="21"/>
          <w:szCs w:val="21"/>
          <w:lang w:val="en-US" w:eastAsia="zh-CN" w:bidi="ar-SA"/>
        </w:rPr>
        <w:t>情况不超过5%为前提。</w:t>
      </w:r>
    </w:p>
    <w:p>
      <w:pPr>
        <w:pStyle w:val="21"/>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6.6 微生物学指标</w:t>
      </w:r>
    </w:p>
    <w:p>
      <w:pPr>
        <w:pStyle w:val="21"/>
        <w:spacing w:line="300" w:lineRule="auto"/>
        <w:ind w:firstLine="420"/>
        <w:rPr>
          <w:rFonts w:hint="eastAsia"/>
          <w:lang w:val="en-US" w:eastAsia="zh-CN"/>
        </w:rPr>
      </w:pPr>
      <w:r>
        <w:rPr>
          <w:rFonts w:hint="eastAsia"/>
          <w:lang w:val="en-US" w:eastAsia="zh-CN"/>
        </w:rPr>
        <w:t>微生物学指标按照</w:t>
      </w:r>
      <w:r>
        <w:rPr>
          <w:rFonts w:hint="eastAsia"/>
        </w:rPr>
        <w:t>《化妆品安全技术规范》(2015年版)</w:t>
      </w:r>
      <w:r>
        <w:rPr>
          <w:rFonts w:hint="eastAsia"/>
          <w:lang w:val="en-US" w:eastAsia="zh-CN"/>
        </w:rPr>
        <w:t>进行测定。</w:t>
      </w:r>
    </w:p>
    <w:p>
      <w:pPr>
        <w:spacing w:before="156" w:beforeLines="50" w:after="156" w:afterLines="50"/>
        <w:rPr>
          <w:rFonts w:hint="eastAsia" w:ascii="黑体" w:eastAsia="黑体"/>
          <w:bCs/>
        </w:rPr>
      </w:pPr>
      <w:r>
        <w:rPr>
          <w:rFonts w:hint="eastAsia" w:ascii="黑体" w:eastAsia="黑体"/>
          <w:bCs/>
          <w:lang w:val="en-US" w:eastAsia="zh-CN"/>
        </w:rPr>
        <w:t xml:space="preserve">7 </w:t>
      </w:r>
      <w:r>
        <w:rPr>
          <w:rFonts w:hint="eastAsia" w:ascii="黑体" w:eastAsia="黑体"/>
          <w:bCs/>
        </w:rPr>
        <w:t xml:space="preserve"> 检验规则</w:t>
      </w:r>
    </w:p>
    <w:p>
      <w:pPr>
        <w:spacing w:before="156" w:beforeLines="50" w:after="156" w:afterLines="50"/>
        <w:rPr>
          <w:rFonts w:hint="eastAsia" w:ascii="黑体" w:eastAsia="黑体"/>
          <w:bCs/>
        </w:rPr>
      </w:pPr>
      <w:r>
        <w:rPr>
          <w:rFonts w:hint="eastAsia" w:ascii="黑体" w:eastAsia="黑体"/>
          <w:bCs/>
          <w:lang w:val="en-US" w:eastAsia="zh-CN"/>
        </w:rPr>
        <w:t>7</w:t>
      </w:r>
      <w:r>
        <w:rPr>
          <w:rFonts w:hint="eastAsia" w:ascii="黑体" w:eastAsia="黑体"/>
          <w:bCs/>
        </w:rPr>
        <w:t>.1 检验分类</w:t>
      </w:r>
    </w:p>
    <w:p>
      <w:pPr>
        <w:rPr>
          <w:rFonts w:hint="eastAsia" w:ascii="黑体" w:eastAsia="黑体"/>
        </w:rPr>
      </w:pPr>
      <w:r>
        <w:rPr>
          <w:rFonts w:hint="eastAsia" w:ascii="黑体" w:eastAsia="黑体"/>
          <w:lang w:val="en-US" w:eastAsia="zh-CN"/>
        </w:rPr>
        <w:t>7</w:t>
      </w:r>
      <w:r>
        <w:rPr>
          <w:rFonts w:hint="eastAsia" w:ascii="黑体" w:eastAsia="黑体"/>
        </w:rPr>
        <w:t>.1.</w:t>
      </w:r>
      <w:r>
        <w:rPr>
          <w:rFonts w:hint="eastAsia" w:ascii="黑体" w:eastAsia="黑体"/>
          <w:lang w:val="en-US" w:eastAsia="zh-CN"/>
        </w:rPr>
        <w:t>1</w:t>
      </w:r>
      <w:r>
        <w:rPr>
          <w:rFonts w:hint="eastAsia" w:ascii="黑体" w:eastAsia="黑体"/>
        </w:rPr>
        <w:t xml:space="preserve"> 出厂检验</w:t>
      </w:r>
    </w:p>
    <w:p>
      <w:pPr>
        <w:ind w:firstLine="420" w:firstLineChars="200"/>
        <w:rPr>
          <w:rFonts w:hint="eastAsia" w:ascii="黑体" w:eastAsia="黑体"/>
          <w:bCs/>
        </w:rPr>
      </w:pPr>
      <w:r>
        <w:rPr>
          <w:rFonts w:hint="eastAsia" w:ascii="宋体" w:hAnsi="宋体"/>
          <w:bCs/>
        </w:rPr>
        <w:t>出厂检验包括</w:t>
      </w:r>
      <w:r>
        <w:rPr>
          <w:rFonts w:hint="eastAsia" w:ascii="宋体" w:hAnsi="宋体"/>
          <w:bCs/>
          <w:lang w:val="en-US" w:eastAsia="zh-CN"/>
        </w:rPr>
        <w:t>5.1</w:t>
      </w:r>
      <w:r>
        <w:rPr>
          <w:rFonts w:hint="eastAsia" w:ascii="宋体" w:hAnsi="宋体"/>
          <w:bCs/>
        </w:rPr>
        <w:t>要求的</w:t>
      </w:r>
      <w:r>
        <w:rPr>
          <w:rFonts w:hint="eastAsia" w:ascii="宋体" w:hAnsi="宋体"/>
          <w:bCs/>
          <w:lang w:val="en-US" w:eastAsia="zh-CN"/>
        </w:rPr>
        <w:t>理化指标项目</w:t>
      </w:r>
      <w:r>
        <w:rPr>
          <w:rFonts w:hint="eastAsia" w:ascii="宋体" w:hAnsi="宋体"/>
          <w:bCs/>
        </w:rPr>
        <w:t>。</w:t>
      </w:r>
    </w:p>
    <w:p>
      <w:pPr>
        <w:rPr>
          <w:rFonts w:hint="eastAsia" w:ascii="黑体" w:eastAsia="黑体"/>
        </w:rPr>
      </w:pPr>
      <w:r>
        <w:rPr>
          <w:rFonts w:hint="eastAsia" w:ascii="黑体" w:eastAsia="黑体"/>
          <w:lang w:val="en-US" w:eastAsia="zh-CN"/>
        </w:rPr>
        <w:t>7</w:t>
      </w:r>
      <w:r>
        <w:rPr>
          <w:rFonts w:hint="eastAsia" w:ascii="黑体" w:eastAsia="黑体"/>
        </w:rPr>
        <w:t>.1.</w:t>
      </w:r>
      <w:r>
        <w:rPr>
          <w:rFonts w:hint="eastAsia" w:ascii="黑体" w:eastAsia="黑体"/>
          <w:lang w:val="en-US" w:eastAsia="zh-CN"/>
        </w:rPr>
        <w:t>2</w:t>
      </w:r>
      <w:r>
        <w:rPr>
          <w:rFonts w:hint="eastAsia" w:ascii="黑体" w:eastAsia="黑体"/>
        </w:rPr>
        <w:t xml:space="preserve"> 型式检验 </w:t>
      </w:r>
    </w:p>
    <w:p>
      <w:pPr>
        <w:numPr>
          <w:ilvl w:val="0"/>
          <w:numId w:val="0"/>
        </w:numPr>
        <w:tabs>
          <w:tab w:val="left" w:pos="840"/>
        </w:tabs>
        <w:ind w:left="420" w:leftChars="0"/>
        <w:rPr>
          <w:rFonts w:hint="eastAsia" w:eastAsia="宋体"/>
          <w:lang w:eastAsia="zh-CN"/>
        </w:rPr>
      </w:pPr>
      <w:r>
        <w:rPr>
          <w:rFonts w:hint="eastAsia"/>
        </w:rPr>
        <w:t>型式检验包括第</w:t>
      </w:r>
      <w:r>
        <w:rPr>
          <w:rFonts w:hint="eastAsia"/>
          <w:lang w:val="en-US" w:eastAsia="zh-CN"/>
        </w:rPr>
        <w:t>5</w:t>
      </w:r>
      <w:r>
        <w:rPr>
          <w:rFonts w:hint="eastAsia"/>
        </w:rPr>
        <w:t>章规定的全部技术要求指标，有如下情况时应进行型式检验</w:t>
      </w:r>
      <w:r>
        <w:rPr>
          <w:rFonts w:hint="eastAsia"/>
          <w:lang w:eastAsia="zh-CN"/>
        </w:rPr>
        <w:t>：</w:t>
      </w:r>
    </w:p>
    <w:p>
      <w:pPr>
        <w:numPr>
          <w:ilvl w:val="0"/>
          <w:numId w:val="18"/>
        </w:numPr>
        <w:tabs>
          <w:tab w:val="left" w:pos="840"/>
          <w:tab w:val="clear" w:pos="1554"/>
        </w:tabs>
        <w:ind w:left="840" w:hanging="420"/>
        <w:rPr>
          <w:rFonts w:hint="eastAsia"/>
        </w:rPr>
      </w:pPr>
      <w:r>
        <w:rPr>
          <w:rFonts w:hint="eastAsia"/>
        </w:rPr>
        <w:t>正常生产时应每</w:t>
      </w:r>
      <w:r>
        <w:rPr>
          <w:rFonts w:hint="eastAsia"/>
          <w:lang w:val="en-US" w:eastAsia="zh-CN"/>
        </w:rPr>
        <w:t>3</w:t>
      </w:r>
      <w:r>
        <w:rPr>
          <w:rFonts w:hint="eastAsia"/>
        </w:rPr>
        <w:t>个月进行</w:t>
      </w:r>
      <w:r>
        <w:rPr>
          <w:rFonts w:hint="eastAsia"/>
          <w:lang w:val="en-US" w:eastAsia="zh-CN"/>
        </w:rPr>
        <w:t>1</w:t>
      </w:r>
      <w:r>
        <w:rPr>
          <w:rFonts w:hint="eastAsia"/>
        </w:rPr>
        <w:t>次型式检验；</w:t>
      </w:r>
    </w:p>
    <w:p>
      <w:pPr>
        <w:numPr>
          <w:ilvl w:val="0"/>
          <w:numId w:val="18"/>
        </w:numPr>
        <w:tabs>
          <w:tab w:val="left" w:pos="840"/>
          <w:tab w:val="clear" w:pos="1554"/>
        </w:tabs>
        <w:ind w:left="840" w:hanging="420"/>
        <w:rPr>
          <w:rFonts w:hint="eastAsia"/>
        </w:rPr>
      </w:pPr>
      <w:r>
        <w:rPr>
          <w:rFonts w:hint="eastAsia"/>
        </w:rPr>
        <w:t>生产工艺、生产设备、原材料、催化剂等变化或不正常，以及生产管理要素（包括人员素质）的变化可能影响产品质量和性能时；</w:t>
      </w:r>
    </w:p>
    <w:p>
      <w:pPr>
        <w:numPr>
          <w:ilvl w:val="0"/>
          <w:numId w:val="18"/>
        </w:numPr>
        <w:tabs>
          <w:tab w:val="left" w:pos="840"/>
          <w:tab w:val="clear" w:pos="1554"/>
        </w:tabs>
        <w:ind w:left="840" w:hanging="420"/>
        <w:rPr>
          <w:rFonts w:hint="eastAsia"/>
        </w:rPr>
      </w:pPr>
      <w:r>
        <w:rPr>
          <w:rFonts w:hint="eastAsia"/>
        </w:rPr>
        <w:t>长期停产后再恢复生产时；</w:t>
      </w:r>
    </w:p>
    <w:p>
      <w:pPr>
        <w:numPr>
          <w:ilvl w:val="0"/>
          <w:numId w:val="18"/>
        </w:numPr>
        <w:tabs>
          <w:tab w:val="left" w:pos="840"/>
          <w:tab w:val="clear" w:pos="1554"/>
        </w:tabs>
        <w:ind w:left="840" w:hanging="420"/>
        <w:rPr>
          <w:rFonts w:hint="eastAsia"/>
        </w:rPr>
      </w:pPr>
      <w:r>
        <w:rPr>
          <w:rFonts w:hint="eastAsia"/>
        </w:rPr>
        <w:t>出厂检验结果与上次的型式检验有较大差异时；</w:t>
      </w:r>
    </w:p>
    <w:p>
      <w:pPr>
        <w:numPr>
          <w:ilvl w:val="0"/>
          <w:numId w:val="18"/>
        </w:numPr>
        <w:tabs>
          <w:tab w:val="left" w:pos="840"/>
          <w:tab w:val="clear" w:pos="1554"/>
        </w:tabs>
        <w:ind w:left="840" w:hanging="420"/>
        <w:rPr>
          <w:rFonts w:hint="eastAsia"/>
        </w:rPr>
      </w:pPr>
      <w:r>
        <w:rPr>
          <w:rFonts w:hint="eastAsia"/>
        </w:rPr>
        <w:t>质量监督机构、使用单位提出型式检验要求时。</w:t>
      </w:r>
    </w:p>
    <w:p>
      <w:pPr>
        <w:rPr>
          <w:rFonts w:hint="eastAsia" w:ascii="黑体" w:eastAsia="黑体"/>
          <w:bCs/>
        </w:rPr>
      </w:pPr>
      <w:r>
        <w:rPr>
          <w:rFonts w:hint="eastAsia" w:ascii="黑体" w:eastAsia="黑体"/>
          <w:bCs/>
          <w:lang w:val="en-US" w:eastAsia="zh-CN"/>
        </w:rPr>
        <w:t>7</w:t>
      </w:r>
      <w:r>
        <w:rPr>
          <w:rFonts w:hint="eastAsia" w:ascii="黑体" w:eastAsia="黑体"/>
          <w:bCs/>
        </w:rPr>
        <w:t>.2 产品组批与抽样规则</w:t>
      </w:r>
    </w:p>
    <w:p>
      <w:pPr>
        <w:rPr>
          <w:rFonts w:hint="eastAsia" w:ascii="黑体" w:eastAsia="黑体"/>
          <w:bCs/>
        </w:rPr>
      </w:pPr>
      <w:r>
        <w:rPr>
          <w:rFonts w:hint="eastAsia" w:ascii="黑体" w:eastAsia="黑体"/>
          <w:bCs/>
          <w:lang w:val="en-US" w:eastAsia="zh-CN"/>
        </w:rPr>
        <w:t>7</w:t>
      </w:r>
      <w:r>
        <w:rPr>
          <w:rFonts w:hint="eastAsia" w:ascii="黑体" w:eastAsia="黑体"/>
          <w:bCs/>
        </w:rPr>
        <w:t>.2.1  组批</w:t>
      </w:r>
    </w:p>
    <w:p>
      <w:pPr>
        <w:ind w:firstLine="570"/>
        <w:rPr>
          <w:rFonts w:hint="eastAsia" w:ascii="宋体" w:hAnsi="宋体"/>
        </w:rPr>
      </w:pPr>
      <w:r>
        <w:rPr>
          <w:rFonts w:hint="eastAsia" w:ascii="宋体" w:hAnsi="宋体"/>
        </w:rPr>
        <w:t>产品按批交付及抽样验收，一次交付的同一类型、规格</w:t>
      </w:r>
      <w:r>
        <w:rPr>
          <w:rFonts w:hint="eastAsia" w:ascii="宋体" w:hAnsi="宋体"/>
          <w:lang w:eastAsia="zh-CN"/>
        </w:rPr>
        <w:t>、</w:t>
      </w:r>
      <w:r>
        <w:rPr>
          <w:rFonts w:hint="eastAsia" w:ascii="宋体" w:hAnsi="宋体"/>
        </w:rPr>
        <w:t>批号的产品</w:t>
      </w:r>
      <w:r>
        <w:rPr>
          <w:rFonts w:hint="eastAsia" w:ascii="宋体" w:hAnsi="宋体"/>
          <w:lang w:val="en-US" w:eastAsia="zh-CN"/>
        </w:rPr>
        <w:t>组成</w:t>
      </w:r>
      <w:r>
        <w:rPr>
          <w:rFonts w:hint="eastAsia" w:ascii="宋体" w:hAnsi="宋体"/>
        </w:rPr>
        <w:t>交付批。</w:t>
      </w:r>
    </w:p>
    <w:p>
      <w:pPr>
        <w:ind w:firstLine="570"/>
        <w:rPr>
          <w:rFonts w:hint="default" w:ascii="宋体" w:hAnsi="宋体" w:eastAsia="宋体"/>
          <w:lang w:val="en-US" w:eastAsia="zh-CN"/>
        </w:rPr>
      </w:pPr>
      <w:r>
        <w:rPr>
          <w:rFonts w:hint="eastAsia" w:ascii="宋体" w:hAnsi="宋体"/>
          <w:lang w:val="en-US" w:eastAsia="zh-CN"/>
        </w:rPr>
        <w:t>产品应</w:t>
      </w:r>
      <w:r>
        <w:rPr>
          <w:rFonts w:hint="eastAsia" w:ascii="宋体" w:hAnsi="宋体"/>
        </w:rPr>
        <w:t>经</w:t>
      </w:r>
      <w:r>
        <w:rPr>
          <w:rFonts w:hint="eastAsia" w:ascii="宋体" w:hAnsi="宋体"/>
          <w:lang w:val="en-US" w:eastAsia="zh-CN"/>
        </w:rPr>
        <w:t>生产厂的</w:t>
      </w:r>
      <w:r>
        <w:rPr>
          <w:rFonts w:hint="eastAsia" w:ascii="宋体" w:hAnsi="宋体"/>
        </w:rPr>
        <w:t>质量检验部门按本</w:t>
      </w:r>
      <w:r>
        <w:rPr>
          <w:rFonts w:hint="eastAsia" w:ascii="宋体" w:hAnsi="宋体"/>
          <w:lang w:val="en-US" w:eastAsia="zh-CN"/>
        </w:rPr>
        <w:t>文件规定的检验方法检验合格</w:t>
      </w:r>
      <w:r>
        <w:rPr>
          <w:rFonts w:hint="eastAsia" w:ascii="宋体" w:hAnsi="宋体"/>
        </w:rPr>
        <w:t>，并出具产品质量检验合格证，方可出厂。收货</w:t>
      </w:r>
      <w:r>
        <w:rPr>
          <w:rFonts w:hint="eastAsia" w:ascii="宋体" w:hAnsi="宋体"/>
          <w:lang w:val="en-US" w:eastAsia="zh-CN"/>
        </w:rPr>
        <w:t>单位应在到货1个月内，</w:t>
      </w:r>
      <w:r>
        <w:rPr>
          <w:rFonts w:hint="eastAsia" w:ascii="宋体" w:hAnsi="宋体"/>
        </w:rPr>
        <w:t>凭合格证验收，必要时可按</w:t>
      </w:r>
      <w:r>
        <w:rPr>
          <w:rFonts w:hint="default" w:ascii="Times New Roman" w:hAnsi="Times New Roman" w:cs="Times New Roman"/>
          <w:lang w:val="en-US" w:eastAsia="zh-CN"/>
        </w:rPr>
        <w:t>7.2.2</w:t>
      </w:r>
      <w:r>
        <w:rPr>
          <w:rFonts w:hint="eastAsia" w:ascii="宋体" w:hAnsi="宋体"/>
          <w:lang w:val="en-US" w:eastAsia="zh-CN"/>
        </w:rPr>
        <w:t>取样验收。</w:t>
      </w:r>
    </w:p>
    <w:p>
      <w:pPr>
        <w:rPr>
          <w:rFonts w:hint="eastAsia" w:ascii="黑体" w:eastAsia="黑体"/>
          <w:bCs/>
        </w:rPr>
      </w:pPr>
      <w:r>
        <w:rPr>
          <w:rFonts w:hint="eastAsia" w:ascii="黑体" w:eastAsia="黑体"/>
          <w:bCs/>
          <w:lang w:val="en-US" w:eastAsia="zh-CN"/>
        </w:rPr>
        <w:t>7</w:t>
      </w:r>
      <w:r>
        <w:rPr>
          <w:rFonts w:hint="eastAsia" w:ascii="黑体" w:eastAsia="黑体"/>
          <w:bCs/>
        </w:rPr>
        <w:t>.2.2  取样</w:t>
      </w:r>
    </w:p>
    <w:p>
      <w:pPr>
        <w:ind w:firstLine="570"/>
        <w:rPr>
          <w:rFonts w:hint="eastAsia"/>
        </w:rPr>
      </w:pPr>
      <w:r>
        <w:rPr>
          <w:rFonts w:hint="eastAsia" w:ascii="宋体" w:hAnsi="宋体"/>
          <w:lang w:val="en-US" w:eastAsia="zh-CN"/>
        </w:rPr>
        <w:t>由批量大小，按</w:t>
      </w:r>
      <w:r>
        <w:rPr>
          <w:rFonts w:hint="eastAsia"/>
        </w:rPr>
        <w:t>表</w:t>
      </w:r>
      <w:r>
        <w:rPr>
          <w:rFonts w:hint="eastAsia"/>
          <w:lang w:val="en-US" w:eastAsia="zh-CN"/>
        </w:rPr>
        <w:t>3</w:t>
      </w:r>
      <w:r>
        <w:rPr>
          <w:rFonts w:hint="eastAsia"/>
        </w:rPr>
        <w:t>确定样本大小，</w:t>
      </w:r>
      <w:r>
        <w:rPr>
          <w:rFonts w:hint="eastAsia"/>
          <w:lang w:val="en-US" w:eastAsia="zh-CN"/>
        </w:rPr>
        <w:t>从批中随机抽取样本单位</w:t>
      </w:r>
      <w:r>
        <w:rPr>
          <w:rFonts w:hint="eastAsia"/>
        </w:rPr>
        <w:t>。</w:t>
      </w:r>
    </w:p>
    <w:p>
      <w:pPr>
        <w:wordWrap w:val="0"/>
        <w:ind w:firstLine="570"/>
        <w:jc w:val="center"/>
        <w:rPr>
          <w:rFonts w:hint="eastAsia"/>
        </w:rPr>
      </w:pPr>
      <w:r>
        <w:rPr>
          <w:rFonts w:hint="eastAsia"/>
          <w:lang w:val="en-US" w:eastAsia="zh-CN"/>
        </w:rPr>
        <w:t xml:space="preserve">                           </w:t>
      </w:r>
      <w:r>
        <w:rPr>
          <w:rFonts w:hint="eastAsia"/>
        </w:rPr>
        <w:t>表</w:t>
      </w:r>
      <w:r>
        <w:rPr>
          <w:rFonts w:hint="eastAsia"/>
          <w:lang w:val="en-US" w:eastAsia="zh-CN"/>
        </w:rPr>
        <w:t>3</w:t>
      </w:r>
      <w:r>
        <w:rPr>
          <w:rFonts w:hint="eastAsia"/>
        </w:rPr>
        <w:t xml:space="preserve"> 批量和样本大小                      </w:t>
      </w:r>
      <w:r>
        <w:rPr>
          <w:rFonts w:hint="eastAsia"/>
          <w:lang w:val="en-US" w:eastAsia="zh-CN"/>
        </w:rPr>
        <w:t xml:space="preserve">   </w:t>
      </w:r>
      <w:r>
        <w:rPr>
          <w:rFonts w:hint="eastAsia"/>
          <w:sz w:val="18"/>
          <w:szCs w:val="18"/>
        </w:rPr>
        <w:t>单位为桶</w:t>
      </w:r>
    </w:p>
    <w:tbl>
      <w:tblPr>
        <w:tblStyle w:val="2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084"/>
        <w:gridCol w:w="1125"/>
        <w:gridCol w:w="1139"/>
        <w:gridCol w:w="1139"/>
        <w:gridCol w:w="1153"/>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noWrap w:val="0"/>
            <w:vAlign w:val="center"/>
          </w:tcPr>
          <w:p>
            <w:pPr>
              <w:spacing w:line="340" w:lineRule="atLeast"/>
              <w:jc w:val="center"/>
              <w:rPr>
                <w:rFonts w:hint="eastAsia"/>
              </w:rPr>
            </w:pPr>
            <w:r>
              <w:rPr>
                <w:rFonts w:hint="eastAsia"/>
              </w:rPr>
              <w:t>批量</w:t>
            </w:r>
          </w:p>
        </w:tc>
        <w:tc>
          <w:tcPr>
            <w:tcW w:w="1084" w:type="dxa"/>
            <w:noWrap w:val="0"/>
            <w:vAlign w:val="top"/>
          </w:tcPr>
          <w:p>
            <w:pPr>
              <w:spacing w:line="340" w:lineRule="atLeast"/>
              <w:jc w:val="center"/>
              <w:rPr>
                <w:rFonts w:hint="eastAsia" w:ascii="宋体" w:hAnsi="宋体"/>
              </w:rPr>
            </w:pPr>
            <w:r>
              <w:rPr>
                <w:rFonts w:hint="eastAsia" w:ascii="宋体" w:hAnsi="宋体"/>
              </w:rPr>
              <w:t>1</w:t>
            </w:r>
          </w:p>
        </w:tc>
        <w:tc>
          <w:tcPr>
            <w:tcW w:w="1125" w:type="dxa"/>
            <w:noWrap w:val="0"/>
            <w:vAlign w:val="center"/>
          </w:tcPr>
          <w:p>
            <w:pPr>
              <w:spacing w:line="340" w:lineRule="atLeast"/>
              <w:jc w:val="center"/>
              <w:rPr>
                <w:rFonts w:hint="eastAsia"/>
              </w:rPr>
            </w:pPr>
            <w:r>
              <w:rPr>
                <w:rFonts w:hint="eastAsia" w:ascii="宋体" w:hAnsi="宋体"/>
              </w:rPr>
              <w:t>2～</w:t>
            </w:r>
            <w:r>
              <w:rPr>
                <w:rFonts w:hint="eastAsia"/>
              </w:rPr>
              <w:t xml:space="preserve">15 </w:t>
            </w:r>
          </w:p>
        </w:tc>
        <w:tc>
          <w:tcPr>
            <w:tcW w:w="1139" w:type="dxa"/>
            <w:noWrap w:val="0"/>
            <w:vAlign w:val="center"/>
          </w:tcPr>
          <w:p>
            <w:pPr>
              <w:spacing w:line="340" w:lineRule="atLeast"/>
              <w:jc w:val="center"/>
              <w:rPr>
                <w:rFonts w:hint="eastAsia"/>
              </w:rPr>
            </w:pPr>
            <w:r>
              <w:rPr>
                <w:rFonts w:hint="eastAsia"/>
              </w:rPr>
              <w:t>16～50</w:t>
            </w:r>
          </w:p>
        </w:tc>
        <w:tc>
          <w:tcPr>
            <w:tcW w:w="1139" w:type="dxa"/>
            <w:noWrap w:val="0"/>
            <w:vAlign w:val="center"/>
          </w:tcPr>
          <w:p>
            <w:pPr>
              <w:spacing w:line="340" w:lineRule="atLeast"/>
              <w:jc w:val="center"/>
              <w:rPr>
                <w:rFonts w:hint="eastAsia"/>
              </w:rPr>
            </w:pPr>
            <w:r>
              <w:rPr>
                <w:rFonts w:hint="eastAsia"/>
              </w:rPr>
              <w:t>51～150</w:t>
            </w:r>
          </w:p>
        </w:tc>
        <w:tc>
          <w:tcPr>
            <w:tcW w:w="1153" w:type="dxa"/>
            <w:noWrap w:val="0"/>
            <w:vAlign w:val="center"/>
          </w:tcPr>
          <w:p>
            <w:pPr>
              <w:spacing w:line="340" w:lineRule="atLeast"/>
              <w:jc w:val="center"/>
              <w:rPr>
                <w:rFonts w:hint="eastAsia"/>
              </w:rPr>
            </w:pPr>
            <w:r>
              <w:rPr>
                <w:rFonts w:hint="eastAsia"/>
              </w:rPr>
              <w:t>151～500</w:t>
            </w:r>
          </w:p>
        </w:tc>
        <w:tc>
          <w:tcPr>
            <w:tcW w:w="1141" w:type="dxa"/>
            <w:noWrap w:val="0"/>
            <w:vAlign w:val="center"/>
          </w:tcPr>
          <w:p>
            <w:pPr>
              <w:spacing w:line="340" w:lineRule="atLeast"/>
              <w:jc w:val="center"/>
              <w:rPr>
                <w:rFonts w:hint="default" w:eastAsia="宋体"/>
                <w:lang w:val="en-US" w:eastAsia="zh-CN"/>
              </w:rPr>
            </w:pPr>
            <w:r>
              <w:rPr>
                <w:rFonts w:hint="eastAsia" w:ascii="宋体" w:hAnsi="宋体"/>
                <w:lang w:val="en-US" w:eastAsia="zh-CN"/>
              </w:rPr>
              <w:t>＞</w:t>
            </w:r>
            <w:r>
              <w:rPr>
                <w:rFonts w:hint="default" w:ascii="Times New Roman" w:hAnsi="Times New Roman" w:cs="Times New Roman"/>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noWrap w:val="0"/>
            <w:vAlign w:val="center"/>
          </w:tcPr>
          <w:p>
            <w:pPr>
              <w:spacing w:line="340" w:lineRule="atLeast"/>
              <w:jc w:val="center"/>
              <w:rPr>
                <w:rFonts w:hint="eastAsia"/>
              </w:rPr>
            </w:pPr>
            <w:r>
              <w:rPr>
                <w:rFonts w:hint="eastAsia"/>
              </w:rPr>
              <w:t>样本大小</w:t>
            </w:r>
          </w:p>
        </w:tc>
        <w:tc>
          <w:tcPr>
            <w:tcW w:w="1084" w:type="dxa"/>
            <w:noWrap w:val="0"/>
            <w:vAlign w:val="top"/>
          </w:tcPr>
          <w:p>
            <w:pPr>
              <w:spacing w:line="340" w:lineRule="atLeast"/>
              <w:jc w:val="center"/>
              <w:rPr>
                <w:rFonts w:hint="eastAsia"/>
              </w:rPr>
            </w:pPr>
            <w:r>
              <w:rPr>
                <w:rFonts w:hint="eastAsia"/>
              </w:rPr>
              <w:t>1</w:t>
            </w:r>
          </w:p>
        </w:tc>
        <w:tc>
          <w:tcPr>
            <w:tcW w:w="1125" w:type="dxa"/>
            <w:noWrap w:val="0"/>
            <w:vAlign w:val="center"/>
          </w:tcPr>
          <w:p>
            <w:pPr>
              <w:spacing w:line="340" w:lineRule="atLeast"/>
              <w:jc w:val="center"/>
              <w:rPr>
                <w:rFonts w:hint="eastAsia"/>
              </w:rPr>
            </w:pPr>
            <w:r>
              <w:rPr>
                <w:rFonts w:hint="eastAsia"/>
              </w:rPr>
              <w:t>2</w:t>
            </w:r>
          </w:p>
        </w:tc>
        <w:tc>
          <w:tcPr>
            <w:tcW w:w="1139" w:type="dxa"/>
            <w:noWrap w:val="0"/>
            <w:vAlign w:val="center"/>
          </w:tcPr>
          <w:p>
            <w:pPr>
              <w:spacing w:line="340" w:lineRule="atLeast"/>
              <w:jc w:val="center"/>
              <w:rPr>
                <w:rFonts w:hint="eastAsia"/>
              </w:rPr>
            </w:pPr>
            <w:r>
              <w:rPr>
                <w:rFonts w:hint="eastAsia"/>
              </w:rPr>
              <w:t>3</w:t>
            </w:r>
          </w:p>
        </w:tc>
        <w:tc>
          <w:tcPr>
            <w:tcW w:w="1139" w:type="dxa"/>
            <w:noWrap w:val="0"/>
            <w:vAlign w:val="center"/>
          </w:tcPr>
          <w:p>
            <w:pPr>
              <w:spacing w:line="340" w:lineRule="atLeast"/>
              <w:jc w:val="center"/>
              <w:rPr>
                <w:rFonts w:hint="eastAsia"/>
              </w:rPr>
            </w:pPr>
            <w:r>
              <w:rPr>
                <w:rFonts w:hint="eastAsia"/>
              </w:rPr>
              <w:t>5</w:t>
            </w:r>
          </w:p>
        </w:tc>
        <w:tc>
          <w:tcPr>
            <w:tcW w:w="1153" w:type="dxa"/>
            <w:noWrap w:val="0"/>
            <w:vAlign w:val="center"/>
          </w:tcPr>
          <w:p>
            <w:pPr>
              <w:spacing w:line="340" w:lineRule="atLeast"/>
              <w:jc w:val="center"/>
              <w:rPr>
                <w:rFonts w:hint="eastAsia"/>
              </w:rPr>
            </w:pPr>
            <w:r>
              <w:rPr>
                <w:rFonts w:hint="eastAsia"/>
              </w:rPr>
              <w:t>8</w:t>
            </w:r>
          </w:p>
        </w:tc>
        <w:tc>
          <w:tcPr>
            <w:tcW w:w="1141" w:type="dxa"/>
            <w:noWrap w:val="0"/>
            <w:vAlign w:val="center"/>
          </w:tcPr>
          <w:p>
            <w:pPr>
              <w:spacing w:line="340" w:lineRule="atLeast"/>
              <w:jc w:val="center"/>
              <w:rPr>
                <w:rFonts w:hint="eastAsia"/>
              </w:rPr>
            </w:pPr>
            <w:r>
              <w:rPr>
                <w:rFonts w:hint="eastAsia"/>
              </w:rPr>
              <w:t>13</w:t>
            </w:r>
          </w:p>
        </w:tc>
      </w:tr>
    </w:tbl>
    <w:p>
      <w:pPr>
        <w:ind w:firstLine="570"/>
        <w:rPr>
          <w:rFonts w:hint="eastAsia"/>
        </w:rPr>
      </w:pPr>
      <w:r>
        <w:rPr>
          <w:rFonts w:hint="eastAsia"/>
        </w:rPr>
        <w:t>取样时用干燥</w:t>
      </w:r>
      <w:r>
        <w:rPr>
          <w:rFonts w:hint="eastAsia"/>
          <w:lang w:val="en-US" w:eastAsia="zh-CN"/>
        </w:rPr>
        <w:t>清洁的取样管或其他取样器皿，插至每个样本（桶）的2/3深度抽取等量样品，取样总量不应少于1kg。将所取试样分成2份，分别装入两支洁净干燥的磨口瓶内并密封，</w:t>
      </w:r>
      <w:r>
        <w:rPr>
          <w:rFonts w:hint="eastAsia"/>
        </w:rPr>
        <w:t>一份用于检测，一份封存。</w:t>
      </w:r>
    </w:p>
    <w:p>
      <w:pPr>
        <w:rPr>
          <w:rFonts w:hint="eastAsia" w:ascii="黑体" w:eastAsia="黑体"/>
          <w:bCs/>
        </w:rPr>
      </w:pPr>
      <w:r>
        <w:rPr>
          <w:rFonts w:hint="eastAsia" w:ascii="黑体" w:eastAsia="黑体"/>
          <w:bCs/>
          <w:lang w:val="en-US" w:eastAsia="zh-CN"/>
        </w:rPr>
        <w:t>7</w:t>
      </w:r>
      <w:r>
        <w:rPr>
          <w:rFonts w:hint="eastAsia" w:ascii="黑体" w:eastAsia="黑体"/>
          <w:bCs/>
        </w:rPr>
        <w:t>.3  判定规则</w:t>
      </w:r>
    </w:p>
    <w:p>
      <w:pPr>
        <w:pStyle w:val="8"/>
        <w:spacing w:line="240" w:lineRule="auto"/>
        <w:rPr>
          <w:rFonts w:hint="eastAsia" w:ascii="宋体" w:hAnsi="宋体"/>
          <w:bCs/>
          <w:color w:val="auto"/>
        </w:rPr>
      </w:pPr>
      <w:r>
        <w:rPr>
          <w:rFonts w:hint="eastAsia" w:ascii="宋体" w:hAnsi="宋体"/>
          <w:bCs/>
          <w:color w:val="auto"/>
        </w:rPr>
        <w:t>检验结果</w:t>
      </w:r>
      <w:r>
        <w:rPr>
          <w:rFonts w:hint="eastAsia" w:ascii="宋体" w:hAnsi="宋体"/>
          <w:bCs/>
          <w:color w:val="auto"/>
          <w:lang w:val="en-US" w:eastAsia="zh-CN"/>
        </w:rPr>
        <w:t>数据应先按照</w:t>
      </w:r>
      <w:r>
        <w:rPr>
          <w:rFonts w:hint="eastAsia"/>
          <w:color w:val="auto"/>
        </w:rPr>
        <w:t>GB/T</w:t>
      </w:r>
      <w:r>
        <w:rPr>
          <w:rFonts w:hint="eastAsia"/>
          <w:color w:val="auto"/>
          <w:lang w:val="en-US" w:eastAsia="zh-CN"/>
        </w:rPr>
        <w:t xml:space="preserve"> 8170规定</w:t>
      </w:r>
      <w:r>
        <w:rPr>
          <w:rFonts w:hint="eastAsia" w:ascii="宋体" w:hAnsi="宋体"/>
          <w:bCs/>
          <w:color w:val="auto"/>
        </w:rPr>
        <w:t>修约</w:t>
      </w:r>
      <w:r>
        <w:rPr>
          <w:rFonts w:hint="eastAsia" w:ascii="宋体" w:hAnsi="宋体"/>
          <w:bCs/>
          <w:color w:val="auto"/>
          <w:lang w:val="en-US" w:eastAsia="zh-CN"/>
        </w:rPr>
        <w:t>到与技术要求量值的有效位数一致，再对照技术要求规定的极限值判定检验批</w:t>
      </w:r>
      <w:r>
        <w:rPr>
          <w:rFonts w:hint="eastAsia" w:ascii="宋体" w:hAnsi="宋体"/>
          <w:bCs/>
          <w:color w:val="auto"/>
        </w:rPr>
        <w:t>产品合格或不合格。</w:t>
      </w:r>
    </w:p>
    <w:p>
      <w:pPr>
        <w:pStyle w:val="8"/>
        <w:spacing w:line="240" w:lineRule="auto"/>
        <w:rPr>
          <w:rFonts w:hint="eastAsia"/>
        </w:rPr>
      </w:pPr>
      <w:r>
        <w:rPr>
          <w:rFonts w:hint="eastAsia"/>
          <w:lang w:val="en-US" w:eastAsia="zh-CN"/>
        </w:rPr>
        <w:t>如检验结果中</w:t>
      </w:r>
      <w:r>
        <w:rPr>
          <w:rFonts w:hint="eastAsia"/>
        </w:rPr>
        <w:t>有</w:t>
      </w:r>
      <w:r>
        <w:rPr>
          <w:rFonts w:hint="eastAsia"/>
          <w:lang w:val="en-US" w:eastAsia="zh-CN"/>
        </w:rPr>
        <w:t>1</w:t>
      </w:r>
      <w:r>
        <w:rPr>
          <w:rFonts w:hint="eastAsia"/>
        </w:rPr>
        <w:t>项指标不符合本</w:t>
      </w:r>
      <w:r>
        <w:rPr>
          <w:rFonts w:hint="eastAsia"/>
          <w:lang w:val="en-US" w:eastAsia="zh-CN"/>
        </w:rPr>
        <w:t>文件</w:t>
      </w:r>
      <w:r>
        <w:rPr>
          <w:rFonts w:hint="eastAsia"/>
        </w:rPr>
        <w:t>的规定，应重新</w:t>
      </w:r>
      <w:r>
        <w:rPr>
          <w:rFonts w:hint="eastAsia"/>
          <w:lang w:val="en-US" w:eastAsia="zh-CN"/>
        </w:rPr>
        <w:t>以双倍样本采取试样，</w:t>
      </w:r>
      <w:r>
        <w:rPr>
          <w:rFonts w:hint="eastAsia"/>
        </w:rPr>
        <w:t>对不合格项进行复检。复检结果符合本</w:t>
      </w:r>
      <w:r>
        <w:rPr>
          <w:rFonts w:hint="eastAsia"/>
          <w:lang w:val="en-US" w:eastAsia="zh-CN"/>
        </w:rPr>
        <w:t>文件</w:t>
      </w:r>
      <w:r>
        <w:rPr>
          <w:rFonts w:hint="eastAsia"/>
        </w:rPr>
        <w:t>规定</w:t>
      </w:r>
      <w:r>
        <w:rPr>
          <w:rFonts w:hint="eastAsia"/>
          <w:lang w:val="en-US" w:eastAsia="zh-CN"/>
        </w:rPr>
        <w:t>时</w:t>
      </w:r>
      <w:r>
        <w:rPr>
          <w:rFonts w:hint="eastAsia"/>
        </w:rPr>
        <w:t>，判该批产品</w:t>
      </w:r>
      <w:r>
        <w:rPr>
          <w:rFonts w:hint="eastAsia"/>
          <w:lang w:val="en-US" w:eastAsia="zh-CN"/>
        </w:rPr>
        <w:t>为</w:t>
      </w:r>
      <w:r>
        <w:rPr>
          <w:rFonts w:hint="eastAsia"/>
        </w:rPr>
        <w:t>合格；如仍不</w:t>
      </w:r>
      <w:r>
        <w:rPr>
          <w:rFonts w:hint="eastAsia"/>
          <w:lang w:val="en-US" w:eastAsia="zh-CN"/>
        </w:rPr>
        <w:t>合格</w:t>
      </w:r>
      <w:r>
        <w:rPr>
          <w:rFonts w:hint="eastAsia"/>
        </w:rPr>
        <w:t>，则判该批产品</w:t>
      </w:r>
      <w:r>
        <w:rPr>
          <w:rFonts w:hint="eastAsia"/>
          <w:lang w:val="en-US" w:eastAsia="zh-CN"/>
        </w:rPr>
        <w:t>为</w:t>
      </w:r>
      <w:r>
        <w:rPr>
          <w:rFonts w:hint="eastAsia"/>
        </w:rPr>
        <w:t>不合格。</w:t>
      </w:r>
    </w:p>
    <w:p>
      <w:pPr>
        <w:rPr>
          <w:rFonts w:hint="eastAsia" w:ascii="黑体" w:eastAsia="黑体"/>
          <w:bCs/>
        </w:rPr>
      </w:pPr>
      <w:r>
        <w:rPr>
          <w:rFonts w:hint="eastAsia" w:ascii="黑体" w:eastAsia="黑体"/>
          <w:bCs/>
          <w:lang w:val="en-US" w:eastAsia="zh-CN"/>
        </w:rPr>
        <w:t>7</w:t>
      </w:r>
      <w:r>
        <w:rPr>
          <w:rFonts w:hint="eastAsia" w:ascii="黑体" w:eastAsia="黑体"/>
          <w:bCs/>
        </w:rPr>
        <w:t>.4  仲裁</w:t>
      </w:r>
    </w:p>
    <w:p>
      <w:pPr>
        <w:ind w:firstLine="570"/>
        <w:rPr>
          <w:rFonts w:hint="eastAsia"/>
        </w:rPr>
      </w:pPr>
      <w:r>
        <w:rPr>
          <w:rFonts w:hint="eastAsia"/>
        </w:rPr>
        <w:t>收货单位如发现产品质量不符合本</w:t>
      </w:r>
      <w:r>
        <w:rPr>
          <w:rFonts w:hint="eastAsia"/>
          <w:lang w:val="en-US" w:eastAsia="zh-CN"/>
        </w:rPr>
        <w:t>文件</w:t>
      </w:r>
      <w:r>
        <w:rPr>
          <w:rFonts w:hint="eastAsia"/>
        </w:rPr>
        <w:t>规定的要求，应在到货</w:t>
      </w:r>
      <w:r>
        <w:rPr>
          <w:rFonts w:hint="eastAsia"/>
          <w:lang w:val="en-US" w:eastAsia="zh-CN"/>
        </w:rPr>
        <w:t>1</w:t>
      </w:r>
      <w:r>
        <w:rPr>
          <w:rFonts w:hint="eastAsia"/>
        </w:rPr>
        <w:t>个月内</w:t>
      </w:r>
      <w:r>
        <w:rPr>
          <w:rFonts w:hint="eastAsia"/>
          <w:lang w:val="en-US" w:eastAsia="zh-CN"/>
        </w:rPr>
        <w:t>与</w:t>
      </w:r>
      <w:r>
        <w:rPr>
          <w:rFonts w:hint="eastAsia"/>
        </w:rPr>
        <w:t>生产</w:t>
      </w:r>
      <w:r>
        <w:rPr>
          <w:rFonts w:hint="eastAsia"/>
          <w:lang w:val="en-US" w:eastAsia="zh-CN"/>
        </w:rPr>
        <w:t>者</w:t>
      </w:r>
      <w:r>
        <w:rPr>
          <w:rFonts w:hint="eastAsia"/>
        </w:rPr>
        <w:t>交涉。</w:t>
      </w:r>
      <w:r>
        <w:rPr>
          <w:rFonts w:hint="eastAsia"/>
          <w:lang w:val="en-US" w:eastAsia="zh-CN"/>
        </w:rPr>
        <w:t>若因检验结果不同，不能取得协议时，双方应按7</w:t>
      </w:r>
      <w:r>
        <w:rPr>
          <w:rFonts w:hint="eastAsia"/>
        </w:rPr>
        <w:t>.2.2取样。取样</w:t>
      </w:r>
      <w:r>
        <w:rPr>
          <w:rFonts w:hint="eastAsia"/>
          <w:lang w:val="en-US" w:eastAsia="zh-CN"/>
        </w:rPr>
        <w:t>总</w:t>
      </w:r>
      <w:r>
        <w:rPr>
          <w:rFonts w:hint="eastAsia"/>
        </w:rPr>
        <w:t>量不</w:t>
      </w:r>
      <w:r>
        <w:rPr>
          <w:rFonts w:hint="eastAsia"/>
          <w:lang w:val="en-US" w:eastAsia="zh-CN"/>
        </w:rPr>
        <w:t>应</w:t>
      </w:r>
      <w:r>
        <w:rPr>
          <w:rFonts w:hint="eastAsia"/>
        </w:rPr>
        <w:t>少于1.5kg，</w:t>
      </w:r>
      <w:r>
        <w:rPr>
          <w:rFonts w:hint="eastAsia"/>
          <w:lang w:val="en-US" w:eastAsia="zh-CN"/>
        </w:rPr>
        <w:t>将抽取的试样仔细</w:t>
      </w:r>
      <w:r>
        <w:rPr>
          <w:rFonts w:hint="eastAsia"/>
        </w:rPr>
        <w:t>混匀后</w:t>
      </w:r>
      <w:r>
        <w:rPr>
          <w:rFonts w:hint="eastAsia"/>
          <w:lang w:eastAsia="zh-CN"/>
        </w:rPr>
        <w:t>，</w:t>
      </w:r>
      <w:r>
        <w:rPr>
          <w:rFonts w:hint="eastAsia"/>
          <w:lang w:val="en-US" w:eastAsia="zh-CN"/>
        </w:rPr>
        <w:t>分别</w:t>
      </w:r>
      <w:r>
        <w:rPr>
          <w:rFonts w:hint="eastAsia"/>
        </w:rPr>
        <w:t>装</w:t>
      </w:r>
      <w:r>
        <w:rPr>
          <w:rFonts w:hint="eastAsia"/>
          <w:lang w:val="en-US" w:eastAsia="zh-CN"/>
        </w:rPr>
        <w:t>入3</w:t>
      </w:r>
      <w:r>
        <w:rPr>
          <w:rFonts w:hint="eastAsia"/>
        </w:rPr>
        <w:t>个</w:t>
      </w:r>
      <w:r>
        <w:rPr>
          <w:rFonts w:hint="eastAsia"/>
          <w:lang w:val="en-US" w:eastAsia="zh-CN"/>
        </w:rPr>
        <w:t>洁净</w:t>
      </w:r>
      <w:r>
        <w:rPr>
          <w:rFonts w:hint="eastAsia"/>
        </w:rPr>
        <w:t>干燥的</w:t>
      </w:r>
      <w:r>
        <w:rPr>
          <w:rFonts w:hint="eastAsia"/>
          <w:lang w:val="en-US" w:eastAsia="zh-CN"/>
        </w:rPr>
        <w:t>试样</w:t>
      </w:r>
      <w:r>
        <w:rPr>
          <w:rFonts w:hint="eastAsia"/>
        </w:rPr>
        <w:t>瓶</w:t>
      </w:r>
      <w:r>
        <w:rPr>
          <w:rFonts w:hint="eastAsia"/>
          <w:lang w:val="en-US" w:eastAsia="zh-CN"/>
        </w:rPr>
        <w:t>中</w:t>
      </w:r>
      <w:r>
        <w:rPr>
          <w:rFonts w:hint="eastAsia"/>
        </w:rPr>
        <w:t>，</w:t>
      </w:r>
      <w:r>
        <w:rPr>
          <w:rFonts w:hint="eastAsia"/>
          <w:lang w:val="en-US" w:eastAsia="zh-CN"/>
        </w:rPr>
        <w:t>签封</w:t>
      </w:r>
      <w:r>
        <w:rPr>
          <w:rFonts w:hint="eastAsia"/>
          <w:lang w:eastAsia="zh-CN"/>
        </w:rPr>
        <w:t>。</w:t>
      </w:r>
      <w:r>
        <w:rPr>
          <w:rFonts w:hint="eastAsia"/>
          <w:lang w:val="en-US" w:eastAsia="zh-CN"/>
        </w:rPr>
        <w:t>标签上应注明产</w:t>
      </w:r>
      <w:r>
        <w:rPr>
          <w:rFonts w:hint="eastAsia"/>
        </w:rPr>
        <w:t>品名称、类型、</w:t>
      </w:r>
      <w:r>
        <w:rPr>
          <w:rFonts w:hint="eastAsia"/>
          <w:lang w:val="en-US" w:eastAsia="zh-CN"/>
        </w:rPr>
        <w:t>规格、</w:t>
      </w:r>
      <w:r>
        <w:rPr>
          <w:rFonts w:hint="eastAsia"/>
        </w:rPr>
        <w:t>批号、生产者</w:t>
      </w:r>
      <w:r>
        <w:rPr>
          <w:rFonts w:hint="eastAsia"/>
          <w:lang w:val="en-US" w:eastAsia="zh-CN"/>
        </w:rPr>
        <w:t>名称</w:t>
      </w:r>
      <w:r>
        <w:rPr>
          <w:rFonts w:hint="eastAsia"/>
        </w:rPr>
        <w:t>、取样日期和取样人。交收双方各</w:t>
      </w:r>
      <w:r>
        <w:rPr>
          <w:rFonts w:hint="eastAsia"/>
          <w:lang w:val="en-US" w:eastAsia="zh-CN"/>
        </w:rPr>
        <w:t>执</w:t>
      </w:r>
      <w:r>
        <w:rPr>
          <w:rFonts w:hint="eastAsia"/>
        </w:rPr>
        <w:t>一</w:t>
      </w:r>
      <w:r>
        <w:rPr>
          <w:rFonts w:hint="eastAsia"/>
          <w:lang w:val="en-US" w:eastAsia="zh-CN"/>
        </w:rPr>
        <w:t>份</w:t>
      </w:r>
      <w:r>
        <w:rPr>
          <w:rFonts w:hint="eastAsia"/>
        </w:rPr>
        <w:t>，</w:t>
      </w:r>
      <w:r>
        <w:rPr>
          <w:rFonts w:hint="eastAsia"/>
          <w:lang w:val="en-US" w:eastAsia="zh-CN"/>
        </w:rPr>
        <w:t>第三份</w:t>
      </w:r>
      <w:r>
        <w:rPr>
          <w:rFonts w:hint="eastAsia"/>
        </w:rPr>
        <w:t>签封后，</w:t>
      </w:r>
      <w:r>
        <w:rPr>
          <w:rFonts w:hint="eastAsia"/>
          <w:lang w:val="en-US" w:eastAsia="zh-CN"/>
        </w:rPr>
        <w:t>备</w:t>
      </w:r>
      <w:r>
        <w:rPr>
          <w:rFonts w:hint="eastAsia"/>
        </w:rPr>
        <w:t>仲裁检验</w:t>
      </w:r>
      <w:r>
        <w:rPr>
          <w:rFonts w:hint="eastAsia"/>
          <w:lang w:val="en-US" w:eastAsia="zh-CN"/>
        </w:rPr>
        <w:t>用</w:t>
      </w:r>
      <w:r>
        <w:rPr>
          <w:rFonts w:hint="eastAsia"/>
        </w:rPr>
        <w:t>。</w:t>
      </w:r>
      <w:r>
        <w:rPr>
          <w:rFonts w:hint="eastAsia"/>
          <w:lang w:val="en-US" w:eastAsia="zh-CN"/>
        </w:rPr>
        <w:t>试样</w:t>
      </w:r>
      <w:r>
        <w:rPr>
          <w:rFonts w:hint="eastAsia"/>
        </w:rPr>
        <w:t>存放于暗处，保存期</w:t>
      </w:r>
      <w:r>
        <w:rPr>
          <w:rFonts w:hint="eastAsia"/>
          <w:lang w:val="en-US" w:eastAsia="zh-CN"/>
        </w:rPr>
        <w:t>1</w:t>
      </w:r>
      <w:r>
        <w:rPr>
          <w:rFonts w:hint="eastAsia"/>
        </w:rPr>
        <w:t>个月。仲裁检验结果为最</w:t>
      </w:r>
      <w:r>
        <w:rPr>
          <w:rFonts w:hint="eastAsia"/>
          <w:lang w:val="en-US" w:eastAsia="zh-CN"/>
        </w:rPr>
        <w:t>后</w:t>
      </w:r>
      <w:r>
        <w:rPr>
          <w:rFonts w:hint="eastAsia"/>
        </w:rPr>
        <w:t>依据。</w:t>
      </w:r>
    </w:p>
    <w:p>
      <w:pPr>
        <w:spacing w:before="156" w:beforeLines="50" w:after="156" w:afterLines="50"/>
        <w:rPr>
          <w:rFonts w:hint="eastAsia" w:ascii="黑体" w:eastAsia="黑体"/>
          <w:bCs/>
        </w:rPr>
      </w:pPr>
      <w:r>
        <w:rPr>
          <w:rFonts w:hint="eastAsia" w:ascii="黑体" w:eastAsia="黑体"/>
          <w:bCs/>
          <w:lang w:val="en-US" w:eastAsia="zh-CN"/>
        </w:rPr>
        <w:t>8</w:t>
      </w:r>
      <w:r>
        <w:rPr>
          <w:rFonts w:hint="eastAsia" w:ascii="黑体" w:eastAsia="黑体"/>
          <w:bCs/>
        </w:rPr>
        <w:t xml:space="preserve">  标志、包装、运输、贮存</w:t>
      </w:r>
    </w:p>
    <w:p>
      <w:pPr>
        <w:rPr>
          <w:rFonts w:hint="eastAsia" w:ascii="黑体" w:eastAsia="黑体"/>
          <w:bCs/>
        </w:rPr>
      </w:pPr>
      <w:r>
        <w:rPr>
          <w:rFonts w:hint="eastAsia" w:ascii="黑体" w:eastAsia="黑体"/>
          <w:bCs/>
          <w:lang w:val="en-US" w:eastAsia="zh-CN"/>
        </w:rPr>
        <w:t>8</w:t>
      </w:r>
      <w:r>
        <w:rPr>
          <w:rFonts w:hint="eastAsia" w:ascii="黑体" w:eastAsia="黑体"/>
          <w:bCs/>
        </w:rPr>
        <w:t>.1  标志</w:t>
      </w:r>
    </w:p>
    <w:p>
      <w:pPr>
        <w:ind w:firstLine="570"/>
        <w:rPr>
          <w:rFonts w:hint="eastAsia" w:ascii="宋体" w:hAnsi="宋体"/>
          <w:lang w:val="en-US" w:eastAsia="zh-CN"/>
        </w:rPr>
      </w:pPr>
      <w:r>
        <w:rPr>
          <w:rFonts w:hint="eastAsia" w:ascii="宋体" w:hAnsi="宋体"/>
          <w:lang w:val="en-US" w:eastAsia="zh-CN"/>
        </w:rPr>
        <w:t xml:space="preserve">按GB/T </w:t>
      </w:r>
      <w:r>
        <w:rPr>
          <w:rFonts w:hint="default" w:ascii="Times New Roman" w:hAnsi="Times New Roman" w:cs="Times New Roman"/>
          <w:lang w:val="en-US" w:eastAsia="zh-CN"/>
        </w:rPr>
        <w:t>191</w:t>
      </w:r>
      <w:r>
        <w:rPr>
          <w:rFonts w:hint="eastAsia" w:ascii="宋体" w:hAnsi="宋体"/>
          <w:lang w:val="en-US" w:eastAsia="zh-CN"/>
        </w:rPr>
        <w:t>包装储运图示标志规定进行。</w:t>
      </w:r>
    </w:p>
    <w:p>
      <w:pPr>
        <w:ind w:firstLine="570"/>
        <w:rPr>
          <w:rFonts w:hint="eastAsia" w:ascii="宋体" w:hAnsi="宋体"/>
        </w:rPr>
      </w:pPr>
      <w:r>
        <w:rPr>
          <w:rFonts w:hint="eastAsia" w:ascii="宋体" w:hAnsi="宋体"/>
          <w:lang w:val="en-US" w:eastAsia="zh-CN"/>
        </w:rPr>
        <w:t>包装桶外壁</w:t>
      </w:r>
      <w:r>
        <w:rPr>
          <w:rFonts w:hint="eastAsia" w:ascii="宋体" w:hAnsi="宋体"/>
        </w:rPr>
        <w:t>图案及文字应清晰端正，</w:t>
      </w:r>
      <w:r>
        <w:rPr>
          <w:rFonts w:hint="eastAsia" w:ascii="宋体" w:hAnsi="宋体"/>
          <w:lang w:val="en-US" w:eastAsia="zh-CN"/>
        </w:rPr>
        <w:t>需要</w:t>
      </w:r>
      <w:r>
        <w:rPr>
          <w:rFonts w:hint="eastAsia" w:ascii="宋体" w:hAnsi="宋体"/>
        </w:rPr>
        <w:t xml:space="preserve">标明： </w:t>
      </w:r>
    </w:p>
    <w:p>
      <w:pPr>
        <w:numPr>
          <w:ilvl w:val="0"/>
          <w:numId w:val="19"/>
        </w:numPr>
        <w:rPr>
          <w:rFonts w:hint="eastAsia" w:ascii="宋体" w:hAnsi="宋体"/>
        </w:rPr>
      </w:pPr>
      <w:r>
        <w:rPr>
          <w:rFonts w:hint="eastAsia" w:ascii="宋体" w:hAnsi="宋体"/>
        </w:rPr>
        <w:t>产品名称、商标、规格</w:t>
      </w:r>
      <w:r>
        <w:rPr>
          <w:rFonts w:hint="eastAsia" w:ascii="宋体" w:hAnsi="宋体"/>
          <w:lang w:eastAsia="zh-CN"/>
        </w:rPr>
        <w:t>、</w:t>
      </w:r>
      <w:r>
        <w:rPr>
          <w:rFonts w:hint="eastAsia" w:ascii="宋体" w:hAnsi="宋体"/>
        </w:rPr>
        <w:t>执行标准号；</w:t>
      </w:r>
    </w:p>
    <w:p>
      <w:pPr>
        <w:numPr>
          <w:ilvl w:val="0"/>
          <w:numId w:val="19"/>
        </w:numPr>
        <w:rPr>
          <w:rFonts w:hint="eastAsia"/>
        </w:rPr>
      </w:pPr>
      <w:r>
        <w:rPr>
          <w:rFonts w:hint="eastAsia" w:ascii="宋体" w:hAnsi="宋体"/>
        </w:rPr>
        <w:t>生产日期</w:t>
      </w:r>
      <w:r>
        <w:rPr>
          <w:rFonts w:hint="eastAsia" w:ascii="宋体" w:hAnsi="宋体"/>
          <w:lang w:val="en-US" w:eastAsia="zh-CN"/>
        </w:rPr>
        <w:t>和</w:t>
      </w:r>
      <w:r>
        <w:rPr>
          <w:rFonts w:hint="eastAsia" w:ascii="宋体" w:hAnsi="宋体"/>
        </w:rPr>
        <w:t>保质期</w:t>
      </w:r>
      <w:r>
        <w:rPr>
          <w:rFonts w:hint="eastAsia" w:ascii="宋体" w:hAnsi="宋体"/>
          <w:lang w:val="en-US" w:eastAsia="zh-CN"/>
        </w:rPr>
        <w:t>或产品批号和限期使用日期</w:t>
      </w:r>
      <w:r>
        <w:rPr>
          <w:rFonts w:hint="eastAsia" w:ascii="宋体" w:hAnsi="宋体"/>
        </w:rPr>
        <w:t>；</w:t>
      </w:r>
    </w:p>
    <w:p>
      <w:pPr>
        <w:numPr>
          <w:ilvl w:val="0"/>
          <w:numId w:val="19"/>
        </w:numPr>
        <w:rPr>
          <w:rFonts w:hint="eastAsia"/>
        </w:rPr>
      </w:pPr>
      <w:r>
        <w:rPr>
          <w:rFonts w:hint="eastAsia" w:ascii="宋体" w:hAnsi="宋体"/>
        </w:rPr>
        <w:t>净含量、毛重；</w:t>
      </w:r>
    </w:p>
    <w:p>
      <w:pPr>
        <w:numPr>
          <w:ilvl w:val="0"/>
          <w:numId w:val="19"/>
        </w:numPr>
        <w:rPr>
          <w:rFonts w:hint="eastAsia"/>
        </w:rPr>
      </w:pPr>
      <w:r>
        <w:rPr>
          <w:rFonts w:hint="eastAsia" w:ascii="宋体" w:hAnsi="宋体"/>
        </w:rPr>
        <w:t>防水、防潮、小心轻放等文字或标记</w:t>
      </w:r>
      <w:r>
        <w:rPr>
          <w:rFonts w:hint="eastAsia" w:ascii="宋体" w:hAnsi="宋体"/>
          <w:lang w:eastAsia="zh-CN"/>
        </w:rPr>
        <w:t>；</w:t>
      </w:r>
    </w:p>
    <w:p>
      <w:pPr>
        <w:numPr>
          <w:ilvl w:val="0"/>
          <w:numId w:val="19"/>
        </w:numPr>
        <w:rPr>
          <w:rFonts w:hint="eastAsia"/>
        </w:rPr>
      </w:pPr>
      <w:r>
        <w:rPr>
          <w:rFonts w:hint="eastAsia" w:ascii="宋体" w:hAnsi="宋体"/>
        </w:rPr>
        <w:t>生产者名称、地址</w:t>
      </w:r>
      <w:r>
        <w:rPr>
          <w:rFonts w:hint="eastAsia" w:ascii="宋体" w:hAnsi="宋体"/>
          <w:lang w:val="en-US" w:eastAsia="zh-CN"/>
        </w:rPr>
        <w:t>和</w:t>
      </w:r>
      <w:r>
        <w:rPr>
          <w:rFonts w:hint="eastAsia" w:ascii="宋体" w:hAnsi="宋体"/>
        </w:rPr>
        <w:t>邮政编码。</w:t>
      </w:r>
    </w:p>
    <w:p>
      <w:pPr>
        <w:rPr>
          <w:rFonts w:hint="eastAsia" w:ascii="黑体" w:eastAsia="黑体"/>
          <w:bCs/>
        </w:rPr>
      </w:pPr>
      <w:r>
        <w:rPr>
          <w:rFonts w:hint="eastAsia" w:ascii="黑体" w:eastAsia="黑体"/>
          <w:bCs/>
          <w:lang w:val="en-US" w:eastAsia="zh-CN"/>
        </w:rPr>
        <w:t>8</w:t>
      </w:r>
      <w:r>
        <w:rPr>
          <w:rFonts w:hint="eastAsia" w:ascii="黑体" w:eastAsia="黑体"/>
          <w:bCs/>
        </w:rPr>
        <w:t>.2  包装</w:t>
      </w:r>
    </w:p>
    <w:p>
      <w:pPr>
        <w:ind w:firstLine="570"/>
        <w:rPr>
          <w:rFonts w:hint="eastAsia" w:ascii="宋体" w:hAnsi="宋体"/>
        </w:rPr>
      </w:pPr>
      <w:r>
        <w:rPr>
          <w:rFonts w:hint="eastAsia"/>
        </w:rPr>
        <w:t>产品</w:t>
      </w:r>
      <w:r>
        <w:rPr>
          <w:rFonts w:hint="eastAsia"/>
          <w:lang w:val="en-US" w:eastAsia="zh-CN"/>
        </w:rPr>
        <w:t>应</w:t>
      </w:r>
      <w:r>
        <w:rPr>
          <w:rFonts w:hint="eastAsia"/>
        </w:rPr>
        <w:t>用</w:t>
      </w:r>
      <w:r>
        <w:rPr>
          <w:rFonts w:hint="eastAsia"/>
          <w:lang w:val="en-US" w:eastAsia="zh-CN"/>
        </w:rPr>
        <w:t>洁净、无腐蚀、能保证强度的</w:t>
      </w:r>
      <w:r>
        <w:rPr>
          <w:rFonts w:hint="eastAsia"/>
        </w:rPr>
        <w:t>塑料桶包装。</w:t>
      </w:r>
      <w:r>
        <w:rPr>
          <w:rFonts w:hint="eastAsia" w:ascii="宋体" w:hAnsi="宋体"/>
          <w:lang w:val="en-US" w:eastAsia="zh-CN"/>
        </w:rPr>
        <w:t>罐装后</w:t>
      </w:r>
      <w:r>
        <w:rPr>
          <w:rFonts w:hint="eastAsia" w:ascii="宋体" w:hAnsi="宋体"/>
        </w:rPr>
        <w:t>应封口良好</w:t>
      </w:r>
      <w:r>
        <w:rPr>
          <w:rFonts w:hint="eastAsia" w:ascii="宋体" w:hAnsi="宋体"/>
          <w:lang w:eastAsia="zh-CN"/>
        </w:rPr>
        <w:t>。</w:t>
      </w:r>
      <w:r>
        <w:rPr>
          <w:rFonts w:hint="eastAsia" w:ascii="宋体" w:hAnsi="宋体"/>
        </w:rPr>
        <w:t>包装的净含量应符合标称质量。</w:t>
      </w:r>
    </w:p>
    <w:p>
      <w:pPr>
        <w:rPr>
          <w:rFonts w:hint="eastAsia" w:ascii="黑体" w:eastAsia="黑体"/>
          <w:bCs/>
        </w:rPr>
      </w:pPr>
      <w:r>
        <w:rPr>
          <w:rFonts w:hint="eastAsia" w:ascii="黑体" w:eastAsia="黑体"/>
          <w:bCs/>
          <w:lang w:val="en-US" w:eastAsia="zh-CN"/>
        </w:rPr>
        <w:t>8</w:t>
      </w:r>
      <w:r>
        <w:rPr>
          <w:rFonts w:hint="eastAsia" w:ascii="黑体" w:eastAsia="黑体"/>
          <w:bCs/>
        </w:rPr>
        <w:t>.3  运输</w:t>
      </w:r>
    </w:p>
    <w:p>
      <w:pPr>
        <w:ind w:firstLine="420" w:firstLineChars="200"/>
        <w:rPr>
          <w:rFonts w:hint="eastAsia"/>
        </w:rPr>
      </w:pPr>
      <w:r>
        <w:rPr>
          <w:rFonts w:hint="eastAsia"/>
        </w:rPr>
        <w:t>产品在运输时应轻装轻卸，</w:t>
      </w:r>
      <w:r>
        <w:rPr>
          <w:rFonts w:hint="eastAsia"/>
          <w:lang w:val="en-US" w:eastAsia="zh-CN"/>
        </w:rPr>
        <w:t>不应倒置，避免</w:t>
      </w:r>
      <w:r>
        <w:rPr>
          <w:rFonts w:hint="eastAsia"/>
        </w:rPr>
        <w:t>日晒、雨淋。</w:t>
      </w:r>
    </w:p>
    <w:p>
      <w:pPr>
        <w:rPr>
          <w:rFonts w:hint="eastAsia" w:ascii="黑体" w:eastAsia="黑体"/>
          <w:bCs/>
        </w:rPr>
      </w:pPr>
      <w:r>
        <w:rPr>
          <w:rFonts w:hint="eastAsia" w:ascii="黑体" w:eastAsia="黑体"/>
          <w:bCs/>
          <w:lang w:val="en-US" w:eastAsia="zh-CN"/>
        </w:rPr>
        <w:t>8</w:t>
      </w:r>
      <w:r>
        <w:rPr>
          <w:rFonts w:hint="eastAsia" w:ascii="黑体" w:eastAsia="黑体"/>
          <w:bCs/>
        </w:rPr>
        <w:t>.4  贮存</w:t>
      </w:r>
    </w:p>
    <w:p>
      <w:pPr>
        <w:ind w:firstLine="420" w:firstLineChars="200"/>
        <w:rPr>
          <w:rFonts w:hint="eastAsia"/>
        </w:rPr>
      </w:pPr>
      <w:r>
        <w:rPr>
          <w:rFonts w:hint="eastAsia"/>
        </w:rPr>
        <w:t>产品应贮存</w:t>
      </w:r>
      <w:r>
        <w:rPr>
          <w:rFonts w:hint="eastAsia"/>
          <w:lang w:val="en-US" w:eastAsia="zh-CN"/>
        </w:rPr>
        <w:t>在</w:t>
      </w:r>
      <w:r>
        <w:rPr>
          <w:rFonts w:hint="eastAsia"/>
        </w:rPr>
        <w:t>通风良好，不受阳光直射</w:t>
      </w:r>
      <w:r>
        <w:rPr>
          <w:rFonts w:hint="eastAsia"/>
          <w:lang w:val="en-US" w:eastAsia="zh-CN"/>
        </w:rPr>
        <w:t>或</w:t>
      </w:r>
      <w:r>
        <w:rPr>
          <w:rFonts w:hint="eastAsia"/>
        </w:rPr>
        <w:t>雨淋的场所。</w:t>
      </w:r>
    </w:p>
    <w:p>
      <w:pPr>
        <w:rPr>
          <w:rFonts w:hint="eastAsia" w:ascii="黑体" w:eastAsia="黑体"/>
          <w:bCs/>
        </w:rPr>
      </w:pPr>
      <w:r>
        <w:rPr>
          <w:rFonts w:hint="eastAsia" w:ascii="黑体" w:eastAsia="黑体"/>
          <w:bCs/>
          <w:lang w:val="en-US" w:eastAsia="zh-CN"/>
        </w:rPr>
        <w:t>8</w:t>
      </w:r>
      <w:r>
        <w:rPr>
          <w:rFonts w:hint="eastAsia" w:ascii="黑体" w:eastAsia="黑体"/>
          <w:bCs/>
        </w:rPr>
        <w:t>.5  保质期</w:t>
      </w:r>
    </w:p>
    <w:p>
      <w:pPr>
        <w:ind w:firstLine="420" w:firstLineChars="200"/>
        <w:rPr>
          <w:rFonts w:hint="eastAsia"/>
        </w:rPr>
      </w:pPr>
      <w:r>
        <w:rPr>
          <w:rFonts w:hint="eastAsia"/>
        </w:rPr>
        <w:t>在规定的运输和</w:t>
      </w:r>
      <w:r>
        <w:rPr>
          <w:rFonts w:hint="eastAsia"/>
          <w:lang w:val="en-US" w:eastAsia="zh-CN"/>
        </w:rPr>
        <w:t>包装</w:t>
      </w:r>
      <w:r>
        <w:rPr>
          <w:rFonts w:hint="eastAsia"/>
        </w:rPr>
        <w:t>贮存条件下，在包装完整未经启封的情况下，从生产之日起保质期</w:t>
      </w:r>
      <w:r>
        <w:rPr>
          <w:rFonts w:hint="eastAsia"/>
          <w:lang w:val="en-US" w:eastAsia="zh-CN"/>
        </w:rPr>
        <w:t>不低于1年</w:t>
      </w:r>
      <w:r>
        <w:rPr>
          <w:rFonts w:hint="eastAsia"/>
        </w:rPr>
        <w:t>。</w:t>
      </w:r>
    </w:p>
    <w:p>
      <w:pPr>
        <w:pStyle w:val="21"/>
        <w:spacing w:line="300" w:lineRule="auto"/>
        <w:ind w:left="0" w:leftChars="0" w:firstLine="0" w:firstLineChars="0"/>
        <w:rPr>
          <w:rFonts w:hint="eastAsia"/>
          <w:lang w:val="en-US" w:eastAsia="zh-CN"/>
        </w:rPr>
      </w:pPr>
      <w:r>
        <mc:AlternateContent>
          <mc:Choice Requires="wps">
            <w:drawing>
              <wp:anchor distT="0" distB="0" distL="114300" distR="114300" simplePos="0" relativeHeight="251669504" behindDoc="0" locked="0" layoutInCell="1" allowOverlap="1">
                <wp:simplePos x="0" y="0"/>
                <wp:positionH relativeFrom="column">
                  <wp:posOffset>1400175</wp:posOffset>
                </wp:positionH>
                <wp:positionV relativeFrom="paragraph">
                  <wp:posOffset>297180</wp:posOffset>
                </wp:positionV>
                <wp:extent cx="24669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4669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0.25pt;margin-top:23.4pt;height:0pt;width:194.25pt;z-index:251669504;mso-width-relative:page;mso-height-relative:page;" filled="f" stroked="t" coordsize="21600,21600" o:gfxdata="UEsDBAoAAAAAAIdO4kAAAAAAAAAAAAAAAAAEAAAAZHJzL1BLAwQUAAAACACHTuJA/oc3YNUAAAAJ&#10;AQAADwAAAGRycy9kb3ducmV2LnhtbE2PTU/DMAyG70j8h8hIXCaWrEAFpekOQG9cGCCuXmPaisbp&#10;muwDfj1GO8DR9qPXz1suD35QO5piH9jCYm5AETfB9dxaeH2pL25AxYTscAhMFr4owrI6PSmxcGHP&#10;z7RbpVZJCMcCLXQpjYXWsenIY5yHkVhuH2HymGScWu0m3Eu4H3RmTK499iwfOhzpvqPmc7X1FmL9&#10;Rpv6e9bMzPtlGyjbPDw9orXnZwtzByrRIf3B8Ksv6lCJ0zps2UU1WMgycy2ohatcKgiQm1sptz4u&#10;dFXq/w2qH1BLAwQUAAAACACHTuJApMiXjvUBAADkAwAADgAAAGRycy9lMm9Eb2MueG1srVPNjtMw&#10;EL4j8Q6W7zRtxBY2arqHLcsFQSXgAaaOk1jynzxu074EL4DEDU4cufM2uzwGY6fbheXSAzk4Y8/4&#10;m/m+GS+u9kaznQyonK35bDLlTFrhGmW7mn/8cPPsJWcYwTagnZU1P0jkV8unTxaDr2TpeqcbGRiB&#10;WKwGX/M+Rl8VBYpeGsCJ89KSs3XBQKRt6IomwEDoRhfldDovBhcaH5yQiHS6Gp38iBjOAXRtq4Rc&#10;ObE10sYRNUgNkShhrzzyZa62baWI79oWZWS65sQ05pWSkL1Ja7FcQNUF8L0SxxLgnBIecTKgLCU9&#10;Qa0gAtsG9Q+UUSI4dG2cCGeKkUhWhFjMpo+0ed+Dl5kLSY3+JDr+P1jxdrcOTDU1LzmzYKjhd59/&#10;3H76+uvnF1rvvn9jZRJp8FhR7LVdh+MO/Tokxvs2mPQnLmyfhT2chJX7yAQdls/n88sXF5yJe1/x&#10;cNEHjK+lMywZNdfKJs5Qwe4NRkpGofch6VhbNtT88qJMcEAD2FLjyTSeSKDt8l10WjU3Sut0A0O3&#10;udaB7SANQf4SJcL9KywlWQH2Y1x2jePRS2he2YbFgyd5LL0KnkowsuFMS3pEySJAqCIofU4kpdaW&#10;Kkiqjjoma+OaAzVj64PqelJilqtMHmp+rvc4qGm6/txnpIfH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c3YNUAAAAJAQAADwAAAAAAAAABACAAAAAiAAAAZHJzL2Rvd25yZXYueG1sUEsBAhQA&#10;FAAAAAgAh07iQKTIl471AQAA5AMAAA4AAAAAAAAAAQAgAAAAJAEAAGRycy9lMm9Eb2MueG1sUEsF&#10;BgAAAAAGAAYAWQEAAIsFAAAAAA==&#10;">
                <v:fill on="f" focussize="0,0"/>
                <v:stroke color="#000000" joinstyle="round"/>
                <v:imagedata o:title=""/>
                <o:lock v:ext="edit" aspectratio="f"/>
              </v:line>
            </w:pict>
          </mc:Fallback>
        </mc:AlternateContent>
      </w:r>
    </w:p>
    <w:sectPr>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3"/>
      </w:rPr>
    </w:pPr>
    <w:r>
      <w:fldChar w:fldCharType="begin"/>
    </w:r>
    <w:r>
      <w:rPr>
        <w:rStyle w:val="33"/>
      </w:rPr>
      <w:instrText xml:space="preserve">PAGE  </w:instrText>
    </w:r>
    <w:r>
      <w:fldChar w:fldCharType="separate"/>
    </w:r>
    <w:r>
      <w:rPr>
        <w:rStyle w:val="33"/>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t>QB/T</w:t>
    </w:r>
    <w:r>
      <w:rPr>
        <w:rFonts w:hint="eastAsia"/>
      </w:rPr>
      <w:t xml:space="preserve"> 2738－xxxx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t>QB/T</w:t>
    </w:r>
    <w:r>
      <w:rPr>
        <w:rFonts w:hint="eastAsia"/>
      </w:rPr>
      <w:t xml:space="preserve"> 2738－xxxx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rPr>
      <w:t xml:space="preserve"> XXXX</w:t>
    </w:r>
    <w: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38"/>
      <w:suff w:val="nothing"/>
      <w:lvlText w:val="%1%2.%3.%4.%5.%6　"/>
      <w:lvlJc w:val="left"/>
      <w:pPr>
        <w:ind w:left="0" w:firstLine="0"/>
      </w:pPr>
      <w:rPr>
        <w:rFonts w:hint="eastAsia" w:ascii="黑体" w:hAnsi="Times New Roman" w:eastAsia="黑体"/>
        <w:b w:val="0"/>
        <w:i w:val="0"/>
        <w:sz w:val="21"/>
      </w:rPr>
    </w:lvl>
    <w:lvl w:ilvl="6" w:tentative="0">
      <w:start w:val="1"/>
      <w:numFmt w:val="decimal"/>
      <w:pStyle w:val="7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12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4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2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0F9870B4"/>
    <w:multiLevelType w:val="multilevel"/>
    <w:tmpl w:val="0F9870B4"/>
    <w:lvl w:ilvl="0" w:tentative="0">
      <w:start w:val="1"/>
      <w:numFmt w:val="lowerLetter"/>
      <w:lvlText w:val="%1）"/>
      <w:lvlJc w:val="left"/>
      <w:pPr>
        <w:tabs>
          <w:tab w:val="left" w:pos="1554"/>
        </w:tabs>
        <w:ind w:left="1554"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DBF583A"/>
    <w:multiLevelType w:val="multilevel"/>
    <w:tmpl w:val="1DBF583A"/>
    <w:lvl w:ilvl="0" w:tentative="0">
      <w:start w:val="1"/>
      <w:numFmt w:val="decimal"/>
      <w:pStyle w:val="91"/>
      <w:suff w:val="nothing"/>
      <w:lvlText w:val="注%1："/>
      <w:lvlJc w:val="left"/>
      <w:pPr>
        <w:ind w:left="811" w:hanging="448"/>
      </w:pPr>
      <w:rPr>
        <w:rFonts w:hint="eastAsia" w:ascii="黑体" w:eastAsia="黑体"/>
        <w:b w:val="0"/>
        <w:i w:val="0"/>
        <w:sz w:val="18"/>
        <w:szCs w:val="18"/>
        <w:vertAlign w:val="baseline"/>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78"/>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0D53F7E"/>
    <w:multiLevelType w:val="multilevel"/>
    <w:tmpl w:val="20D53F7E"/>
    <w:lvl w:ilvl="0" w:tentative="0">
      <w:start w:val="1"/>
      <w:numFmt w:val="lowerLetter"/>
      <w:lvlText w:val="%1)"/>
      <w:lvlJc w:val="left"/>
      <w:pPr>
        <w:tabs>
          <w:tab w:val="left" w:pos="930"/>
        </w:tabs>
        <w:ind w:left="930" w:hanging="36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9">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89"/>
      <w:lvlText w:val=""/>
      <w:lvlJc w:val="left"/>
      <w:pPr>
        <w:tabs>
          <w:tab w:val="left" w:pos="760"/>
        </w:tabs>
        <w:ind w:left="1264" w:hanging="413"/>
      </w:pPr>
      <w:rPr>
        <w:rFonts w:hint="default" w:ascii="Symbol" w:hAnsi="Symbol"/>
        <w:color w:val="auto"/>
      </w:rPr>
    </w:lvl>
    <w:lvl w:ilvl="2" w:tentative="0">
      <w:start w:val="1"/>
      <w:numFmt w:val="bullet"/>
      <w:pStyle w:val="9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9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18"/>
      <w:lvlText w:val="%2)"/>
      <w:lvlJc w:val="left"/>
      <w:pPr>
        <w:tabs>
          <w:tab w:val="left" w:pos="1259"/>
        </w:tabs>
        <w:ind w:left="1259" w:hanging="420"/>
      </w:pPr>
      <w:rPr>
        <w:rFonts w:hint="eastAsia" w:ascii="宋体" w:hAnsi="宋体" w:eastAsia="宋体"/>
        <w:b w:val="0"/>
        <w:bCs w:val="0"/>
        <w:i w:val="0"/>
        <w:iCs w:val="0"/>
        <w:caps w:val="0"/>
        <w:strike w:val="0"/>
        <w:dstrike w:val="0"/>
        <w:vanish w:val="0"/>
        <w:color w:val="000000"/>
        <w:spacing w:val="0"/>
        <w:kern w:val="0"/>
        <w:position w:val="0"/>
        <w:sz w:val="20"/>
        <w:szCs w:val="21"/>
        <w:u w:val="none"/>
        <w:vertAlign w:val="baseline"/>
        <w14:shadow w14:blurRad="0" w14:dist="0" w14:dir="0" w14:sx="0" w14:sy="0" w14:kx="0" w14:ky="0" w14:algn="none">
          <w14:srgbClr w14:val="000000"/>
        </w14:shadow>
      </w:rPr>
    </w:lvl>
    <w:lvl w:ilvl="2" w:tentative="0">
      <w:start w:val="1"/>
      <w:numFmt w:val="decimal"/>
      <w:pStyle w:val="12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b w:val="0"/>
        <w:i w:val="0"/>
        <w:sz w:val="21"/>
      </w:rPr>
    </w:lvl>
    <w:lvl w:ilvl="4" w:tentative="0">
      <w:start w:val="1"/>
      <w:numFmt w:val="lowerLetter"/>
      <w:lvlText w:val="%5)"/>
      <w:lvlJc w:val="left"/>
      <w:pPr>
        <w:tabs>
          <w:tab w:val="left" w:pos="2517"/>
        </w:tabs>
        <w:ind w:left="2517" w:hanging="419"/>
      </w:pPr>
      <w:rPr>
        <w:rFonts w:hint="eastAsia"/>
        <w:b w:val="0"/>
        <w:i w:val="0"/>
        <w:sz w:val="21"/>
      </w:rPr>
    </w:lvl>
    <w:lvl w:ilvl="5" w:tentative="0">
      <w:start w:val="1"/>
      <w:numFmt w:val="lowerRoman"/>
      <w:lvlText w:val="%6."/>
      <w:lvlJc w:val="right"/>
      <w:pPr>
        <w:tabs>
          <w:tab w:val="left" w:pos="2942"/>
        </w:tabs>
        <w:ind w:left="2937" w:hanging="420"/>
      </w:pPr>
      <w:rPr>
        <w:rFonts w:hint="eastAsia"/>
        <w:b w:val="0"/>
        <w:i w:val="0"/>
        <w:sz w:val="21"/>
      </w:rPr>
    </w:lvl>
    <w:lvl w:ilvl="6" w:tentative="0">
      <w:start w:val="1"/>
      <w:numFmt w:val="decimal"/>
      <w:lvlText w:val="%7."/>
      <w:lvlJc w:val="left"/>
      <w:pPr>
        <w:tabs>
          <w:tab w:val="left" w:pos="3362"/>
        </w:tabs>
        <w:ind w:left="3356" w:hanging="414"/>
      </w:pPr>
      <w:rPr>
        <w:rFonts w:hint="eastAsia"/>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9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3"/>
      <w:lvlText w:val="%1"/>
      <w:lvlJc w:val="left"/>
      <w:pPr>
        <w:tabs>
          <w:tab w:val="left" w:pos="0"/>
        </w:tabs>
        <w:ind w:left="0" w:hanging="425"/>
      </w:pPr>
      <w:rPr>
        <w:rFonts w:hint="eastAsia"/>
      </w:rPr>
    </w:lvl>
    <w:lvl w:ilvl="1" w:tentative="0">
      <w:start w:val="1"/>
      <w:numFmt w:val="decimal"/>
      <w:pStyle w:val="7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7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7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7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1"/>
  </w:num>
  <w:num w:numId="2">
    <w:abstractNumId w:val="2"/>
  </w:num>
  <w:num w:numId="3">
    <w:abstractNumId w:val="10"/>
  </w:num>
  <w:num w:numId="4">
    <w:abstractNumId w:val="17"/>
  </w:num>
  <w:num w:numId="5">
    <w:abstractNumId w:val="0"/>
  </w:num>
  <w:num w:numId="6">
    <w:abstractNumId w:val="15"/>
  </w:num>
  <w:num w:numId="7">
    <w:abstractNumId w:val="16"/>
  </w:num>
  <w:num w:numId="8">
    <w:abstractNumId w:val="7"/>
  </w:num>
  <w:num w:numId="9">
    <w:abstractNumId w:val="18"/>
  </w:num>
  <w:num w:numId="10">
    <w:abstractNumId w:val="13"/>
  </w:num>
  <w:num w:numId="11">
    <w:abstractNumId w:val="6"/>
  </w:num>
  <w:num w:numId="12">
    <w:abstractNumId w:val="12"/>
  </w:num>
  <w:num w:numId="13">
    <w:abstractNumId w:val="9"/>
  </w:num>
  <w:num w:numId="14">
    <w:abstractNumId w:val="14"/>
  </w:num>
  <w:num w:numId="15">
    <w:abstractNumId w:val="1"/>
  </w:num>
  <w:num w:numId="16">
    <w:abstractNumId w:val="3"/>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544"/>
    <w:rsid w:val="0000185F"/>
    <w:rsid w:val="00002185"/>
    <w:rsid w:val="0000586F"/>
    <w:rsid w:val="00011077"/>
    <w:rsid w:val="0001110D"/>
    <w:rsid w:val="000112AD"/>
    <w:rsid w:val="00013D86"/>
    <w:rsid w:val="00013E02"/>
    <w:rsid w:val="000204D6"/>
    <w:rsid w:val="0002143C"/>
    <w:rsid w:val="00024138"/>
    <w:rsid w:val="00025A65"/>
    <w:rsid w:val="00026C31"/>
    <w:rsid w:val="00027280"/>
    <w:rsid w:val="00030C04"/>
    <w:rsid w:val="000320A7"/>
    <w:rsid w:val="00035925"/>
    <w:rsid w:val="000372E9"/>
    <w:rsid w:val="00037E00"/>
    <w:rsid w:val="000536A0"/>
    <w:rsid w:val="0005417B"/>
    <w:rsid w:val="00055DCD"/>
    <w:rsid w:val="000564DB"/>
    <w:rsid w:val="00056B91"/>
    <w:rsid w:val="00062867"/>
    <w:rsid w:val="00067CDF"/>
    <w:rsid w:val="00071F0F"/>
    <w:rsid w:val="000734AE"/>
    <w:rsid w:val="0007426D"/>
    <w:rsid w:val="00074FBE"/>
    <w:rsid w:val="00075B3D"/>
    <w:rsid w:val="00083A09"/>
    <w:rsid w:val="00084B56"/>
    <w:rsid w:val="00086391"/>
    <w:rsid w:val="00087A4B"/>
    <w:rsid w:val="0009005E"/>
    <w:rsid w:val="00092857"/>
    <w:rsid w:val="000972CA"/>
    <w:rsid w:val="0009757E"/>
    <w:rsid w:val="000979D9"/>
    <w:rsid w:val="000A20A9"/>
    <w:rsid w:val="000A3BC1"/>
    <w:rsid w:val="000A3DBF"/>
    <w:rsid w:val="000A48B1"/>
    <w:rsid w:val="000A5145"/>
    <w:rsid w:val="000A53CD"/>
    <w:rsid w:val="000A6EFF"/>
    <w:rsid w:val="000B1063"/>
    <w:rsid w:val="000B26D4"/>
    <w:rsid w:val="000B3143"/>
    <w:rsid w:val="000C6B05"/>
    <w:rsid w:val="000C6DD6"/>
    <w:rsid w:val="000C73D4"/>
    <w:rsid w:val="000C7BF1"/>
    <w:rsid w:val="000D1B4F"/>
    <w:rsid w:val="000D3D4C"/>
    <w:rsid w:val="000D4F51"/>
    <w:rsid w:val="000D69F8"/>
    <w:rsid w:val="000D718B"/>
    <w:rsid w:val="000E00F4"/>
    <w:rsid w:val="000E0C46"/>
    <w:rsid w:val="000E5D9D"/>
    <w:rsid w:val="000F030C"/>
    <w:rsid w:val="000F129C"/>
    <w:rsid w:val="000F2061"/>
    <w:rsid w:val="001056DE"/>
    <w:rsid w:val="00106CBA"/>
    <w:rsid w:val="001121E2"/>
    <w:rsid w:val="001124C0"/>
    <w:rsid w:val="001158A6"/>
    <w:rsid w:val="00122A24"/>
    <w:rsid w:val="00123B81"/>
    <w:rsid w:val="0013175F"/>
    <w:rsid w:val="001331CA"/>
    <w:rsid w:val="0013365C"/>
    <w:rsid w:val="001407B8"/>
    <w:rsid w:val="001426AA"/>
    <w:rsid w:val="001512B4"/>
    <w:rsid w:val="00151FE1"/>
    <w:rsid w:val="00153E97"/>
    <w:rsid w:val="001620A5"/>
    <w:rsid w:val="00163AFC"/>
    <w:rsid w:val="00164E53"/>
    <w:rsid w:val="0016699D"/>
    <w:rsid w:val="00175159"/>
    <w:rsid w:val="00176208"/>
    <w:rsid w:val="001800CE"/>
    <w:rsid w:val="0018211B"/>
    <w:rsid w:val="00182750"/>
    <w:rsid w:val="001840D3"/>
    <w:rsid w:val="00184B73"/>
    <w:rsid w:val="00185499"/>
    <w:rsid w:val="00187479"/>
    <w:rsid w:val="001900F8"/>
    <w:rsid w:val="00191258"/>
    <w:rsid w:val="00192680"/>
    <w:rsid w:val="00193037"/>
    <w:rsid w:val="00193A2C"/>
    <w:rsid w:val="00194423"/>
    <w:rsid w:val="001A06E4"/>
    <w:rsid w:val="001A0C51"/>
    <w:rsid w:val="001A288E"/>
    <w:rsid w:val="001A39C4"/>
    <w:rsid w:val="001B6DC2"/>
    <w:rsid w:val="001C13F3"/>
    <w:rsid w:val="001C149C"/>
    <w:rsid w:val="001C21AC"/>
    <w:rsid w:val="001C2888"/>
    <w:rsid w:val="001C47BA"/>
    <w:rsid w:val="001C59EA"/>
    <w:rsid w:val="001C5CCF"/>
    <w:rsid w:val="001C741D"/>
    <w:rsid w:val="001D406C"/>
    <w:rsid w:val="001D41EE"/>
    <w:rsid w:val="001D6BC0"/>
    <w:rsid w:val="001E0380"/>
    <w:rsid w:val="001E13B1"/>
    <w:rsid w:val="001E1601"/>
    <w:rsid w:val="001E41BB"/>
    <w:rsid w:val="001E4D7A"/>
    <w:rsid w:val="001E7A6A"/>
    <w:rsid w:val="001F2987"/>
    <w:rsid w:val="001F3A19"/>
    <w:rsid w:val="001F4169"/>
    <w:rsid w:val="0020251B"/>
    <w:rsid w:val="00206A3D"/>
    <w:rsid w:val="0021473F"/>
    <w:rsid w:val="002156C7"/>
    <w:rsid w:val="00222CD8"/>
    <w:rsid w:val="00225966"/>
    <w:rsid w:val="00225CFF"/>
    <w:rsid w:val="00230455"/>
    <w:rsid w:val="00230E62"/>
    <w:rsid w:val="00231EC4"/>
    <w:rsid w:val="00234467"/>
    <w:rsid w:val="00237D8D"/>
    <w:rsid w:val="00241DA2"/>
    <w:rsid w:val="00246468"/>
    <w:rsid w:val="00247FEE"/>
    <w:rsid w:val="00250E7D"/>
    <w:rsid w:val="002565D5"/>
    <w:rsid w:val="002622C0"/>
    <w:rsid w:val="00262747"/>
    <w:rsid w:val="00273BB0"/>
    <w:rsid w:val="002756F5"/>
    <w:rsid w:val="00276692"/>
    <w:rsid w:val="002778AE"/>
    <w:rsid w:val="00280EE3"/>
    <w:rsid w:val="0028269A"/>
    <w:rsid w:val="00283590"/>
    <w:rsid w:val="002848FA"/>
    <w:rsid w:val="00286973"/>
    <w:rsid w:val="002927C5"/>
    <w:rsid w:val="00294968"/>
    <w:rsid w:val="00294A02"/>
    <w:rsid w:val="00294E70"/>
    <w:rsid w:val="00295232"/>
    <w:rsid w:val="002A1924"/>
    <w:rsid w:val="002A6491"/>
    <w:rsid w:val="002A7420"/>
    <w:rsid w:val="002A7A7E"/>
    <w:rsid w:val="002B05A2"/>
    <w:rsid w:val="002B0F12"/>
    <w:rsid w:val="002B1308"/>
    <w:rsid w:val="002B4554"/>
    <w:rsid w:val="002B6490"/>
    <w:rsid w:val="002B707C"/>
    <w:rsid w:val="002C2BB1"/>
    <w:rsid w:val="002C2F0C"/>
    <w:rsid w:val="002C5828"/>
    <w:rsid w:val="002C6ACB"/>
    <w:rsid w:val="002C72D8"/>
    <w:rsid w:val="002D07B1"/>
    <w:rsid w:val="002D11FA"/>
    <w:rsid w:val="002D15DE"/>
    <w:rsid w:val="002E0DDF"/>
    <w:rsid w:val="002E2906"/>
    <w:rsid w:val="002E4F5B"/>
    <w:rsid w:val="002E5635"/>
    <w:rsid w:val="002E64C3"/>
    <w:rsid w:val="002E6A2C"/>
    <w:rsid w:val="002F08E9"/>
    <w:rsid w:val="002F1D8C"/>
    <w:rsid w:val="002F21DA"/>
    <w:rsid w:val="002F2E3D"/>
    <w:rsid w:val="002F5755"/>
    <w:rsid w:val="00300B80"/>
    <w:rsid w:val="00301F39"/>
    <w:rsid w:val="003037D3"/>
    <w:rsid w:val="003059EB"/>
    <w:rsid w:val="00314A3B"/>
    <w:rsid w:val="00317248"/>
    <w:rsid w:val="00324878"/>
    <w:rsid w:val="00325926"/>
    <w:rsid w:val="00327A8A"/>
    <w:rsid w:val="0033045B"/>
    <w:rsid w:val="003311AB"/>
    <w:rsid w:val="0033392B"/>
    <w:rsid w:val="003339A3"/>
    <w:rsid w:val="0033415C"/>
    <w:rsid w:val="00336610"/>
    <w:rsid w:val="00343F73"/>
    <w:rsid w:val="00344964"/>
    <w:rsid w:val="00345060"/>
    <w:rsid w:val="0034550D"/>
    <w:rsid w:val="00351F18"/>
    <w:rsid w:val="0035208F"/>
    <w:rsid w:val="00352E38"/>
    <w:rsid w:val="0035323B"/>
    <w:rsid w:val="00353372"/>
    <w:rsid w:val="003557BC"/>
    <w:rsid w:val="003609D2"/>
    <w:rsid w:val="003628F8"/>
    <w:rsid w:val="00363F22"/>
    <w:rsid w:val="00364EA2"/>
    <w:rsid w:val="00366404"/>
    <w:rsid w:val="00367EB5"/>
    <w:rsid w:val="00373E51"/>
    <w:rsid w:val="00375564"/>
    <w:rsid w:val="00377343"/>
    <w:rsid w:val="003821B3"/>
    <w:rsid w:val="00383191"/>
    <w:rsid w:val="00384970"/>
    <w:rsid w:val="00386DED"/>
    <w:rsid w:val="00390434"/>
    <w:rsid w:val="003912E7"/>
    <w:rsid w:val="00393947"/>
    <w:rsid w:val="0039624C"/>
    <w:rsid w:val="003A2275"/>
    <w:rsid w:val="003A39AA"/>
    <w:rsid w:val="003A5277"/>
    <w:rsid w:val="003A6A4F"/>
    <w:rsid w:val="003A7088"/>
    <w:rsid w:val="003B00DF"/>
    <w:rsid w:val="003B1275"/>
    <w:rsid w:val="003B1778"/>
    <w:rsid w:val="003B1E79"/>
    <w:rsid w:val="003B22FE"/>
    <w:rsid w:val="003C11CB"/>
    <w:rsid w:val="003C1E4D"/>
    <w:rsid w:val="003C3017"/>
    <w:rsid w:val="003C3EA4"/>
    <w:rsid w:val="003C75F3"/>
    <w:rsid w:val="003C78A3"/>
    <w:rsid w:val="003D5D02"/>
    <w:rsid w:val="003E0A6D"/>
    <w:rsid w:val="003E0AD9"/>
    <w:rsid w:val="003E1867"/>
    <w:rsid w:val="003E2DC6"/>
    <w:rsid w:val="003E4412"/>
    <w:rsid w:val="003E5729"/>
    <w:rsid w:val="003F2C86"/>
    <w:rsid w:val="003F427C"/>
    <w:rsid w:val="003F4EE0"/>
    <w:rsid w:val="00400433"/>
    <w:rsid w:val="00402153"/>
    <w:rsid w:val="00402FC1"/>
    <w:rsid w:val="00407CD5"/>
    <w:rsid w:val="00413DC6"/>
    <w:rsid w:val="004147D4"/>
    <w:rsid w:val="00425082"/>
    <w:rsid w:val="004255F2"/>
    <w:rsid w:val="00426CDD"/>
    <w:rsid w:val="0043083D"/>
    <w:rsid w:val="00431DEB"/>
    <w:rsid w:val="00441BD2"/>
    <w:rsid w:val="00446B29"/>
    <w:rsid w:val="00451579"/>
    <w:rsid w:val="00453F9A"/>
    <w:rsid w:val="00456ADC"/>
    <w:rsid w:val="004602F0"/>
    <w:rsid w:val="00461D6E"/>
    <w:rsid w:val="00464903"/>
    <w:rsid w:val="00465E0F"/>
    <w:rsid w:val="00466EBE"/>
    <w:rsid w:val="00471053"/>
    <w:rsid w:val="00471E91"/>
    <w:rsid w:val="00474675"/>
    <w:rsid w:val="0047470C"/>
    <w:rsid w:val="00474F67"/>
    <w:rsid w:val="00476EB4"/>
    <w:rsid w:val="004817C9"/>
    <w:rsid w:val="00481F6E"/>
    <w:rsid w:val="00486D50"/>
    <w:rsid w:val="00491008"/>
    <w:rsid w:val="004946E4"/>
    <w:rsid w:val="004A35F9"/>
    <w:rsid w:val="004B247B"/>
    <w:rsid w:val="004B24C1"/>
    <w:rsid w:val="004B49B1"/>
    <w:rsid w:val="004C292F"/>
    <w:rsid w:val="004C43D5"/>
    <w:rsid w:val="004C4D8E"/>
    <w:rsid w:val="004C7940"/>
    <w:rsid w:val="004D0988"/>
    <w:rsid w:val="004D1930"/>
    <w:rsid w:val="004D20FC"/>
    <w:rsid w:val="004D4E26"/>
    <w:rsid w:val="004D57C0"/>
    <w:rsid w:val="004E205F"/>
    <w:rsid w:val="004E5A47"/>
    <w:rsid w:val="004F4C86"/>
    <w:rsid w:val="004F6228"/>
    <w:rsid w:val="00504648"/>
    <w:rsid w:val="00510280"/>
    <w:rsid w:val="00513109"/>
    <w:rsid w:val="00513D73"/>
    <w:rsid w:val="00514A43"/>
    <w:rsid w:val="00515C69"/>
    <w:rsid w:val="005174E5"/>
    <w:rsid w:val="0051751F"/>
    <w:rsid w:val="00522393"/>
    <w:rsid w:val="00522620"/>
    <w:rsid w:val="00525656"/>
    <w:rsid w:val="00533C27"/>
    <w:rsid w:val="00534C02"/>
    <w:rsid w:val="0054264B"/>
    <w:rsid w:val="005431CD"/>
    <w:rsid w:val="00543786"/>
    <w:rsid w:val="0054440F"/>
    <w:rsid w:val="00545D6B"/>
    <w:rsid w:val="00546355"/>
    <w:rsid w:val="00546D0D"/>
    <w:rsid w:val="00547152"/>
    <w:rsid w:val="005533D7"/>
    <w:rsid w:val="00560366"/>
    <w:rsid w:val="00560637"/>
    <w:rsid w:val="00560E35"/>
    <w:rsid w:val="005611DD"/>
    <w:rsid w:val="005631CA"/>
    <w:rsid w:val="00564442"/>
    <w:rsid w:val="005703B4"/>
    <w:rsid w:val="005703DE"/>
    <w:rsid w:val="005760E0"/>
    <w:rsid w:val="0058464E"/>
    <w:rsid w:val="00585282"/>
    <w:rsid w:val="00596B93"/>
    <w:rsid w:val="005A01CB"/>
    <w:rsid w:val="005A58FF"/>
    <w:rsid w:val="005A5EAF"/>
    <w:rsid w:val="005A64C0"/>
    <w:rsid w:val="005B3C11"/>
    <w:rsid w:val="005B45C0"/>
    <w:rsid w:val="005C0388"/>
    <w:rsid w:val="005C1C28"/>
    <w:rsid w:val="005C2BDF"/>
    <w:rsid w:val="005C4E44"/>
    <w:rsid w:val="005C55EC"/>
    <w:rsid w:val="005C59EC"/>
    <w:rsid w:val="005C6DB5"/>
    <w:rsid w:val="005D03AA"/>
    <w:rsid w:val="005D1603"/>
    <w:rsid w:val="005D69BB"/>
    <w:rsid w:val="005E19E7"/>
    <w:rsid w:val="005F3486"/>
    <w:rsid w:val="005F5594"/>
    <w:rsid w:val="00600BC4"/>
    <w:rsid w:val="00601111"/>
    <w:rsid w:val="00602539"/>
    <w:rsid w:val="00604246"/>
    <w:rsid w:val="00607D30"/>
    <w:rsid w:val="0061716C"/>
    <w:rsid w:val="00617E2C"/>
    <w:rsid w:val="00621147"/>
    <w:rsid w:val="006243A1"/>
    <w:rsid w:val="00630604"/>
    <w:rsid w:val="006323F2"/>
    <w:rsid w:val="00632B24"/>
    <w:rsid w:val="00632E56"/>
    <w:rsid w:val="00634E7A"/>
    <w:rsid w:val="00635CBA"/>
    <w:rsid w:val="00641571"/>
    <w:rsid w:val="0064338B"/>
    <w:rsid w:val="00643918"/>
    <w:rsid w:val="00645F90"/>
    <w:rsid w:val="00646542"/>
    <w:rsid w:val="00650218"/>
    <w:rsid w:val="006504F4"/>
    <w:rsid w:val="00652C9E"/>
    <w:rsid w:val="00653204"/>
    <w:rsid w:val="006542AD"/>
    <w:rsid w:val="00654BC9"/>
    <w:rsid w:val="006552FD"/>
    <w:rsid w:val="00657E2B"/>
    <w:rsid w:val="00663AF3"/>
    <w:rsid w:val="00666B6C"/>
    <w:rsid w:val="0067422D"/>
    <w:rsid w:val="00682682"/>
    <w:rsid w:val="00682702"/>
    <w:rsid w:val="00685C95"/>
    <w:rsid w:val="00692368"/>
    <w:rsid w:val="0069248B"/>
    <w:rsid w:val="00695B6A"/>
    <w:rsid w:val="006977F1"/>
    <w:rsid w:val="006A101D"/>
    <w:rsid w:val="006A2541"/>
    <w:rsid w:val="006A2EBC"/>
    <w:rsid w:val="006A4258"/>
    <w:rsid w:val="006A5EA0"/>
    <w:rsid w:val="006A6607"/>
    <w:rsid w:val="006A783B"/>
    <w:rsid w:val="006A7B33"/>
    <w:rsid w:val="006A7DEB"/>
    <w:rsid w:val="006B1709"/>
    <w:rsid w:val="006B3731"/>
    <w:rsid w:val="006B4E13"/>
    <w:rsid w:val="006B75DD"/>
    <w:rsid w:val="006C1876"/>
    <w:rsid w:val="006C518A"/>
    <w:rsid w:val="006C541E"/>
    <w:rsid w:val="006C67E0"/>
    <w:rsid w:val="006C7ABA"/>
    <w:rsid w:val="006D0D60"/>
    <w:rsid w:val="006D1122"/>
    <w:rsid w:val="006D317E"/>
    <w:rsid w:val="006D3C00"/>
    <w:rsid w:val="006E3675"/>
    <w:rsid w:val="006E4A7F"/>
    <w:rsid w:val="006E5A8E"/>
    <w:rsid w:val="00704DF6"/>
    <w:rsid w:val="0070651C"/>
    <w:rsid w:val="00706912"/>
    <w:rsid w:val="00710826"/>
    <w:rsid w:val="007132A3"/>
    <w:rsid w:val="00716421"/>
    <w:rsid w:val="00716461"/>
    <w:rsid w:val="00721419"/>
    <w:rsid w:val="00723E3F"/>
    <w:rsid w:val="00724EFB"/>
    <w:rsid w:val="007272B1"/>
    <w:rsid w:val="007369C6"/>
    <w:rsid w:val="0074002A"/>
    <w:rsid w:val="007419C3"/>
    <w:rsid w:val="007467A7"/>
    <w:rsid w:val="007469DD"/>
    <w:rsid w:val="0074741B"/>
    <w:rsid w:val="0074759E"/>
    <w:rsid w:val="007478EA"/>
    <w:rsid w:val="00751F83"/>
    <w:rsid w:val="007526E1"/>
    <w:rsid w:val="007538E8"/>
    <w:rsid w:val="0075415C"/>
    <w:rsid w:val="00757097"/>
    <w:rsid w:val="0076181F"/>
    <w:rsid w:val="00763502"/>
    <w:rsid w:val="00763D4D"/>
    <w:rsid w:val="0077333B"/>
    <w:rsid w:val="00775338"/>
    <w:rsid w:val="00776D4C"/>
    <w:rsid w:val="007838D1"/>
    <w:rsid w:val="00785AA0"/>
    <w:rsid w:val="00790D68"/>
    <w:rsid w:val="007913AB"/>
    <w:rsid w:val="007914F7"/>
    <w:rsid w:val="007919E3"/>
    <w:rsid w:val="00797701"/>
    <w:rsid w:val="007A20B0"/>
    <w:rsid w:val="007B0AA5"/>
    <w:rsid w:val="007B1625"/>
    <w:rsid w:val="007B292F"/>
    <w:rsid w:val="007B54E7"/>
    <w:rsid w:val="007B706E"/>
    <w:rsid w:val="007B71EB"/>
    <w:rsid w:val="007C55AC"/>
    <w:rsid w:val="007C6205"/>
    <w:rsid w:val="007C686A"/>
    <w:rsid w:val="007C728E"/>
    <w:rsid w:val="007D2C53"/>
    <w:rsid w:val="007D3D60"/>
    <w:rsid w:val="007E1980"/>
    <w:rsid w:val="007E2CD5"/>
    <w:rsid w:val="007E2D12"/>
    <w:rsid w:val="007E37D4"/>
    <w:rsid w:val="007E4128"/>
    <w:rsid w:val="007E4B76"/>
    <w:rsid w:val="007E5EA8"/>
    <w:rsid w:val="007F0CF1"/>
    <w:rsid w:val="007F12A5"/>
    <w:rsid w:val="007F4CF1"/>
    <w:rsid w:val="007F5F9D"/>
    <w:rsid w:val="007F758D"/>
    <w:rsid w:val="007F7D52"/>
    <w:rsid w:val="0080654C"/>
    <w:rsid w:val="008071C6"/>
    <w:rsid w:val="00817A00"/>
    <w:rsid w:val="00824487"/>
    <w:rsid w:val="00827800"/>
    <w:rsid w:val="00833132"/>
    <w:rsid w:val="00835DB3"/>
    <w:rsid w:val="0083617B"/>
    <w:rsid w:val="008371BD"/>
    <w:rsid w:val="008378EE"/>
    <w:rsid w:val="008504A8"/>
    <w:rsid w:val="008509C3"/>
    <w:rsid w:val="00851B58"/>
    <w:rsid w:val="0085282E"/>
    <w:rsid w:val="008546CA"/>
    <w:rsid w:val="008552C2"/>
    <w:rsid w:val="00856585"/>
    <w:rsid w:val="00864C16"/>
    <w:rsid w:val="008706A8"/>
    <w:rsid w:val="0087198C"/>
    <w:rsid w:val="00872C1F"/>
    <w:rsid w:val="00873B42"/>
    <w:rsid w:val="008754B7"/>
    <w:rsid w:val="00880D1A"/>
    <w:rsid w:val="008818F0"/>
    <w:rsid w:val="008847C0"/>
    <w:rsid w:val="008856D8"/>
    <w:rsid w:val="0089075A"/>
    <w:rsid w:val="00892E82"/>
    <w:rsid w:val="00893277"/>
    <w:rsid w:val="008966D9"/>
    <w:rsid w:val="008A08C5"/>
    <w:rsid w:val="008A1035"/>
    <w:rsid w:val="008A6E08"/>
    <w:rsid w:val="008B6E0E"/>
    <w:rsid w:val="008C08FD"/>
    <w:rsid w:val="008C1B58"/>
    <w:rsid w:val="008C1B9F"/>
    <w:rsid w:val="008C39AE"/>
    <w:rsid w:val="008C590D"/>
    <w:rsid w:val="008C6569"/>
    <w:rsid w:val="008E031B"/>
    <w:rsid w:val="008E0E95"/>
    <w:rsid w:val="008E2456"/>
    <w:rsid w:val="008E7029"/>
    <w:rsid w:val="008E7AAF"/>
    <w:rsid w:val="008E7EF6"/>
    <w:rsid w:val="008F0216"/>
    <w:rsid w:val="008F044A"/>
    <w:rsid w:val="008F1F98"/>
    <w:rsid w:val="008F6758"/>
    <w:rsid w:val="008F7067"/>
    <w:rsid w:val="009040DD"/>
    <w:rsid w:val="00905B47"/>
    <w:rsid w:val="0091230A"/>
    <w:rsid w:val="00912919"/>
    <w:rsid w:val="00912B6E"/>
    <w:rsid w:val="0091331C"/>
    <w:rsid w:val="009137BD"/>
    <w:rsid w:val="00914F67"/>
    <w:rsid w:val="0091615C"/>
    <w:rsid w:val="009169CE"/>
    <w:rsid w:val="009212F6"/>
    <w:rsid w:val="009279DE"/>
    <w:rsid w:val="00930116"/>
    <w:rsid w:val="00931119"/>
    <w:rsid w:val="0094212C"/>
    <w:rsid w:val="00951698"/>
    <w:rsid w:val="00954689"/>
    <w:rsid w:val="009617C9"/>
    <w:rsid w:val="00961C93"/>
    <w:rsid w:val="0096255E"/>
    <w:rsid w:val="00963818"/>
    <w:rsid w:val="00965324"/>
    <w:rsid w:val="0097091E"/>
    <w:rsid w:val="009760D3"/>
    <w:rsid w:val="00977132"/>
    <w:rsid w:val="00981A4B"/>
    <w:rsid w:val="00982250"/>
    <w:rsid w:val="00982501"/>
    <w:rsid w:val="009865FA"/>
    <w:rsid w:val="009877D3"/>
    <w:rsid w:val="00991244"/>
    <w:rsid w:val="00994E8F"/>
    <w:rsid w:val="009951DC"/>
    <w:rsid w:val="009959BB"/>
    <w:rsid w:val="00997158"/>
    <w:rsid w:val="009A3A7C"/>
    <w:rsid w:val="009A4D86"/>
    <w:rsid w:val="009A5455"/>
    <w:rsid w:val="009A5D33"/>
    <w:rsid w:val="009A6376"/>
    <w:rsid w:val="009B2ADB"/>
    <w:rsid w:val="009B603A"/>
    <w:rsid w:val="009B6378"/>
    <w:rsid w:val="009C2D0E"/>
    <w:rsid w:val="009C3DAC"/>
    <w:rsid w:val="009C42E0"/>
    <w:rsid w:val="009C7477"/>
    <w:rsid w:val="009D5362"/>
    <w:rsid w:val="009E1415"/>
    <w:rsid w:val="009E479E"/>
    <w:rsid w:val="009E6116"/>
    <w:rsid w:val="009F10EF"/>
    <w:rsid w:val="009F7507"/>
    <w:rsid w:val="00A026A3"/>
    <w:rsid w:val="00A02E43"/>
    <w:rsid w:val="00A059B8"/>
    <w:rsid w:val="00A065F9"/>
    <w:rsid w:val="00A07F34"/>
    <w:rsid w:val="00A1198E"/>
    <w:rsid w:val="00A138A0"/>
    <w:rsid w:val="00A22154"/>
    <w:rsid w:val="00A228BB"/>
    <w:rsid w:val="00A23CB0"/>
    <w:rsid w:val="00A24058"/>
    <w:rsid w:val="00A25C38"/>
    <w:rsid w:val="00A26329"/>
    <w:rsid w:val="00A33B04"/>
    <w:rsid w:val="00A368EE"/>
    <w:rsid w:val="00A36A6D"/>
    <w:rsid w:val="00A36BBE"/>
    <w:rsid w:val="00A36CE9"/>
    <w:rsid w:val="00A424D2"/>
    <w:rsid w:val="00A4307A"/>
    <w:rsid w:val="00A47988"/>
    <w:rsid w:val="00A47D1E"/>
    <w:rsid w:val="00A47EBB"/>
    <w:rsid w:val="00A51CDD"/>
    <w:rsid w:val="00A52692"/>
    <w:rsid w:val="00A54248"/>
    <w:rsid w:val="00A56BBA"/>
    <w:rsid w:val="00A57369"/>
    <w:rsid w:val="00A625C1"/>
    <w:rsid w:val="00A63F1C"/>
    <w:rsid w:val="00A65536"/>
    <w:rsid w:val="00A6730D"/>
    <w:rsid w:val="00A71625"/>
    <w:rsid w:val="00A71B9B"/>
    <w:rsid w:val="00A72B3B"/>
    <w:rsid w:val="00A74AB6"/>
    <w:rsid w:val="00A751C7"/>
    <w:rsid w:val="00A7566F"/>
    <w:rsid w:val="00A75FB0"/>
    <w:rsid w:val="00A76868"/>
    <w:rsid w:val="00A86EFF"/>
    <w:rsid w:val="00A87844"/>
    <w:rsid w:val="00A901A4"/>
    <w:rsid w:val="00A91155"/>
    <w:rsid w:val="00A9221F"/>
    <w:rsid w:val="00AA038C"/>
    <w:rsid w:val="00AA057E"/>
    <w:rsid w:val="00AA6C54"/>
    <w:rsid w:val="00AA7A09"/>
    <w:rsid w:val="00AB0A7C"/>
    <w:rsid w:val="00AB1CED"/>
    <w:rsid w:val="00AB3423"/>
    <w:rsid w:val="00AB3B50"/>
    <w:rsid w:val="00AB558D"/>
    <w:rsid w:val="00AC05B1"/>
    <w:rsid w:val="00AC4317"/>
    <w:rsid w:val="00AD356C"/>
    <w:rsid w:val="00AE2054"/>
    <w:rsid w:val="00AE2914"/>
    <w:rsid w:val="00AE6D15"/>
    <w:rsid w:val="00AF0BCF"/>
    <w:rsid w:val="00AF1F49"/>
    <w:rsid w:val="00AF269C"/>
    <w:rsid w:val="00AF5338"/>
    <w:rsid w:val="00AF69AB"/>
    <w:rsid w:val="00AF6B8A"/>
    <w:rsid w:val="00B04182"/>
    <w:rsid w:val="00B07AE3"/>
    <w:rsid w:val="00B11430"/>
    <w:rsid w:val="00B12C66"/>
    <w:rsid w:val="00B14D06"/>
    <w:rsid w:val="00B17751"/>
    <w:rsid w:val="00B22E72"/>
    <w:rsid w:val="00B32229"/>
    <w:rsid w:val="00B334F9"/>
    <w:rsid w:val="00B3385B"/>
    <w:rsid w:val="00B34F74"/>
    <w:rsid w:val="00B3539C"/>
    <w:rsid w:val="00B353EB"/>
    <w:rsid w:val="00B35436"/>
    <w:rsid w:val="00B439C4"/>
    <w:rsid w:val="00B4527B"/>
    <w:rsid w:val="00B4535E"/>
    <w:rsid w:val="00B50AD6"/>
    <w:rsid w:val="00B517EB"/>
    <w:rsid w:val="00B52A8C"/>
    <w:rsid w:val="00B62F11"/>
    <w:rsid w:val="00B636A8"/>
    <w:rsid w:val="00B665C6"/>
    <w:rsid w:val="00B666E1"/>
    <w:rsid w:val="00B70171"/>
    <w:rsid w:val="00B76750"/>
    <w:rsid w:val="00B805AF"/>
    <w:rsid w:val="00B85A0D"/>
    <w:rsid w:val="00B869EC"/>
    <w:rsid w:val="00B86D93"/>
    <w:rsid w:val="00B932C3"/>
    <w:rsid w:val="00B9397A"/>
    <w:rsid w:val="00B95E38"/>
    <w:rsid w:val="00B9633D"/>
    <w:rsid w:val="00B96BFC"/>
    <w:rsid w:val="00BA004D"/>
    <w:rsid w:val="00BA19AF"/>
    <w:rsid w:val="00BA26A7"/>
    <w:rsid w:val="00BA2EBE"/>
    <w:rsid w:val="00BA4853"/>
    <w:rsid w:val="00BB002C"/>
    <w:rsid w:val="00BB0F28"/>
    <w:rsid w:val="00BB3B05"/>
    <w:rsid w:val="00BB458A"/>
    <w:rsid w:val="00BD00D3"/>
    <w:rsid w:val="00BD1659"/>
    <w:rsid w:val="00BD3AA9"/>
    <w:rsid w:val="00BD4A18"/>
    <w:rsid w:val="00BD6DB2"/>
    <w:rsid w:val="00BD73A1"/>
    <w:rsid w:val="00BE11CF"/>
    <w:rsid w:val="00BE1310"/>
    <w:rsid w:val="00BE21AB"/>
    <w:rsid w:val="00BE48EF"/>
    <w:rsid w:val="00BE55CB"/>
    <w:rsid w:val="00BE7067"/>
    <w:rsid w:val="00BF30B8"/>
    <w:rsid w:val="00BF5999"/>
    <w:rsid w:val="00BF617A"/>
    <w:rsid w:val="00BF6F6D"/>
    <w:rsid w:val="00BF717D"/>
    <w:rsid w:val="00C0085B"/>
    <w:rsid w:val="00C013DA"/>
    <w:rsid w:val="00C0379D"/>
    <w:rsid w:val="00C03931"/>
    <w:rsid w:val="00C05FE3"/>
    <w:rsid w:val="00C2136D"/>
    <w:rsid w:val="00C214EE"/>
    <w:rsid w:val="00C22740"/>
    <w:rsid w:val="00C2314B"/>
    <w:rsid w:val="00C24971"/>
    <w:rsid w:val="00C2509F"/>
    <w:rsid w:val="00C26368"/>
    <w:rsid w:val="00C26BE5"/>
    <w:rsid w:val="00C26E4D"/>
    <w:rsid w:val="00C27909"/>
    <w:rsid w:val="00C27B03"/>
    <w:rsid w:val="00C314E1"/>
    <w:rsid w:val="00C34397"/>
    <w:rsid w:val="00C35DC2"/>
    <w:rsid w:val="00C36C8B"/>
    <w:rsid w:val="00C40503"/>
    <w:rsid w:val="00C4060C"/>
    <w:rsid w:val="00C4095D"/>
    <w:rsid w:val="00C47C8D"/>
    <w:rsid w:val="00C53B43"/>
    <w:rsid w:val="00C56CE5"/>
    <w:rsid w:val="00C601D2"/>
    <w:rsid w:val="00C6097F"/>
    <w:rsid w:val="00C65BCC"/>
    <w:rsid w:val="00C66970"/>
    <w:rsid w:val="00C84A57"/>
    <w:rsid w:val="00C8691C"/>
    <w:rsid w:val="00C91D55"/>
    <w:rsid w:val="00CA168A"/>
    <w:rsid w:val="00CA357E"/>
    <w:rsid w:val="00CA44F9"/>
    <w:rsid w:val="00CA4A69"/>
    <w:rsid w:val="00CB0C12"/>
    <w:rsid w:val="00CB1774"/>
    <w:rsid w:val="00CB1B32"/>
    <w:rsid w:val="00CB2B52"/>
    <w:rsid w:val="00CB60A4"/>
    <w:rsid w:val="00CC3E0C"/>
    <w:rsid w:val="00CC58D3"/>
    <w:rsid w:val="00CC5FA3"/>
    <w:rsid w:val="00CC6130"/>
    <w:rsid w:val="00CC784D"/>
    <w:rsid w:val="00CE07DE"/>
    <w:rsid w:val="00CE5B5E"/>
    <w:rsid w:val="00CF3AFE"/>
    <w:rsid w:val="00CF790F"/>
    <w:rsid w:val="00D0337B"/>
    <w:rsid w:val="00D079B2"/>
    <w:rsid w:val="00D114E9"/>
    <w:rsid w:val="00D15524"/>
    <w:rsid w:val="00D15B61"/>
    <w:rsid w:val="00D17CD8"/>
    <w:rsid w:val="00D20C70"/>
    <w:rsid w:val="00D21447"/>
    <w:rsid w:val="00D25BB1"/>
    <w:rsid w:val="00D31D6E"/>
    <w:rsid w:val="00D32E17"/>
    <w:rsid w:val="00D35999"/>
    <w:rsid w:val="00D4035F"/>
    <w:rsid w:val="00D41ADC"/>
    <w:rsid w:val="00D429C6"/>
    <w:rsid w:val="00D47748"/>
    <w:rsid w:val="00D54CC3"/>
    <w:rsid w:val="00D54CF9"/>
    <w:rsid w:val="00D5507B"/>
    <w:rsid w:val="00D6041A"/>
    <w:rsid w:val="00D633EB"/>
    <w:rsid w:val="00D63EB0"/>
    <w:rsid w:val="00D6524D"/>
    <w:rsid w:val="00D65660"/>
    <w:rsid w:val="00D66D79"/>
    <w:rsid w:val="00D67FF8"/>
    <w:rsid w:val="00D73AFA"/>
    <w:rsid w:val="00D76063"/>
    <w:rsid w:val="00D768F2"/>
    <w:rsid w:val="00D81EF9"/>
    <w:rsid w:val="00D8232A"/>
    <w:rsid w:val="00D82FF7"/>
    <w:rsid w:val="00D847CF"/>
    <w:rsid w:val="00D847FE"/>
    <w:rsid w:val="00D86B9C"/>
    <w:rsid w:val="00D92E62"/>
    <w:rsid w:val="00D92FF8"/>
    <w:rsid w:val="00D964EA"/>
    <w:rsid w:val="00D966D0"/>
    <w:rsid w:val="00DA0C59"/>
    <w:rsid w:val="00DA14C4"/>
    <w:rsid w:val="00DA1A4E"/>
    <w:rsid w:val="00DA334C"/>
    <w:rsid w:val="00DA3991"/>
    <w:rsid w:val="00DA41AD"/>
    <w:rsid w:val="00DA5FC0"/>
    <w:rsid w:val="00DB0396"/>
    <w:rsid w:val="00DB4CB6"/>
    <w:rsid w:val="00DB5625"/>
    <w:rsid w:val="00DB7E6C"/>
    <w:rsid w:val="00DC6DDB"/>
    <w:rsid w:val="00DC7B39"/>
    <w:rsid w:val="00DD252A"/>
    <w:rsid w:val="00DD5A29"/>
    <w:rsid w:val="00DD5D9D"/>
    <w:rsid w:val="00DE35CB"/>
    <w:rsid w:val="00DF0F03"/>
    <w:rsid w:val="00DF21E9"/>
    <w:rsid w:val="00DF37AE"/>
    <w:rsid w:val="00DF3AAA"/>
    <w:rsid w:val="00E00F14"/>
    <w:rsid w:val="00E06386"/>
    <w:rsid w:val="00E11668"/>
    <w:rsid w:val="00E17160"/>
    <w:rsid w:val="00E21A76"/>
    <w:rsid w:val="00E24EB4"/>
    <w:rsid w:val="00E263FB"/>
    <w:rsid w:val="00E27B8A"/>
    <w:rsid w:val="00E320ED"/>
    <w:rsid w:val="00E33AFB"/>
    <w:rsid w:val="00E34218"/>
    <w:rsid w:val="00E41DDC"/>
    <w:rsid w:val="00E43760"/>
    <w:rsid w:val="00E43CEA"/>
    <w:rsid w:val="00E456A7"/>
    <w:rsid w:val="00E46282"/>
    <w:rsid w:val="00E51CC3"/>
    <w:rsid w:val="00E5216E"/>
    <w:rsid w:val="00E53C9F"/>
    <w:rsid w:val="00E6145D"/>
    <w:rsid w:val="00E630F0"/>
    <w:rsid w:val="00E637B8"/>
    <w:rsid w:val="00E650FD"/>
    <w:rsid w:val="00E82344"/>
    <w:rsid w:val="00E84C82"/>
    <w:rsid w:val="00E84D64"/>
    <w:rsid w:val="00E87408"/>
    <w:rsid w:val="00E914C4"/>
    <w:rsid w:val="00E91CC2"/>
    <w:rsid w:val="00E93178"/>
    <w:rsid w:val="00E933EE"/>
    <w:rsid w:val="00E934F5"/>
    <w:rsid w:val="00E96961"/>
    <w:rsid w:val="00EA72EC"/>
    <w:rsid w:val="00EB11CB"/>
    <w:rsid w:val="00EB275A"/>
    <w:rsid w:val="00EB75E5"/>
    <w:rsid w:val="00EB786A"/>
    <w:rsid w:val="00EC1578"/>
    <w:rsid w:val="00EC165D"/>
    <w:rsid w:val="00EC1C72"/>
    <w:rsid w:val="00EC3CC9"/>
    <w:rsid w:val="00EC680A"/>
    <w:rsid w:val="00EC6ABB"/>
    <w:rsid w:val="00ED3111"/>
    <w:rsid w:val="00ED3D13"/>
    <w:rsid w:val="00EE1759"/>
    <w:rsid w:val="00EE2BED"/>
    <w:rsid w:val="00EE374B"/>
    <w:rsid w:val="00EE6C15"/>
    <w:rsid w:val="00EF269C"/>
    <w:rsid w:val="00EF2869"/>
    <w:rsid w:val="00EF289B"/>
    <w:rsid w:val="00EF31FC"/>
    <w:rsid w:val="00EF33A3"/>
    <w:rsid w:val="00F10746"/>
    <w:rsid w:val="00F10EB4"/>
    <w:rsid w:val="00F11BB5"/>
    <w:rsid w:val="00F12166"/>
    <w:rsid w:val="00F139AA"/>
    <w:rsid w:val="00F1417B"/>
    <w:rsid w:val="00F163E2"/>
    <w:rsid w:val="00F208A0"/>
    <w:rsid w:val="00F2115E"/>
    <w:rsid w:val="00F2238F"/>
    <w:rsid w:val="00F235BC"/>
    <w:rsid w:val="00F23EDE"/>
    <w:rsid w:val="00F30A9C"/>
    <w:rsid w:val="00F34B99"/>
    <w:rsid w:val="00F36AD1"/>
    <w:rsid w:val="00F36B24"/>
    <w:rsid w:val="00F437E2"/>
    <w:rsid w:val="00F51CF2"/>
    <w:rsid w:val="00F51E3F"/>
    <w:rsid w:val="00F52DAB"/>
    <w:rsid w:val="00F530D1"/>
    <w:rsid w:val="00F543F0"/>
    <w:rsid w:val="00F57E6B"/>
    <w:rsid w:val="00F61399"/>
    <w:rsid w:val="00F67C9A"/>
    <w:rsid w:val="00F72B1F"/>
    <w:rsid w:val="00F771CE"/>
    <w:rsid w:val="00F77E46"/>
    <w:rsid w:val="00F803EC"/>
    <w:rsid w:val="00F81D29"/>
    <w:rsid w:val="00F8762C"/>
    <w:rsid w:val="00F900E6"/>
    <w:rsid w:val="00F91C4D"/>
    <w:rsid w:val="00F92FD9"/>
    <w:rsid w:val="00F96925"/>
    <w:rsid w:val="00F97773"/>
    <w:rsid w:val="00FA24FA"/>
    <w:rsid w:val="00FA38F9"/>
    <w:rsid w:val="00FA6684"/>
    <w:rsid w:val="00FA731E"/>
    <w:rsid w:val="00FA7350"/>
    <w:rsid w:val="00FB1DCF"/>
    <w:rsid w:val="00FB2B38"/>
    <w:rsid w:val="00FB6D14"/>
    <w:rsid w:val="00FC08A0"/>
    <w:rsid w:val="00FC6358"/>
    <w:rsid w:val="00FD320D"/>
    <w:rsid w:val="00FE23DE"/>
    <w:rsid w:val="00FE6800"/>
    <w:rsid w:val="00FF5C18"/>
    <w:rsid w:val="00FF60E6"/>
    <w:rsid w:val="00FF6A86"/>
    <w:rsid w:val="03331D55"/>
    <w:rsid w:val="047A1FD7"/>
    <w:rsid w:val="0526787C"/>
    <w:rsid w:val="07FD43B6"/>
    <w:rsid w:val="082B6165"/>
    <w:rsid w:val="0E515FA2"/>
    <w:rsid w:val="0E554756"/>
    <w:rsid w:val="0F9C5CB7"/>
    <w:rsid w:val="139D1CD6"/>
    <w:rsid w:val="154B48F7"/>
    <w:rsid w:val="154D6E01"/>
    <w:rsid w:val="15D138F2"/>
    <w:rsid w:val="178C773A"/>
    <w:rsid w:val="1B017DDC"/>
    <w:rsid w:val="1C7F19A4"/>
    <w:rsid w:val="1CE32011"/>
    <w:rsid w:val="1F866A1B"/>
    <w:rsid w:val="26FC1E67"/>
    <w:rsid w:val="2CA85BF8"/>
    <w:rsid w:val="2DA542D8"/>
    <w:rsid w:val="306757EB"/>
    <w:rsid w:val="331E23A4"/>
    <w:rsid w:val="3833480D"/>
    <w:rsid w:val="3A4C22FD"/>
    <w:rsid w:val="3D1B1C7C"/>
    <w:rsid w:val="3E4F097A"/>
    <w:rsid w:val="3E8842C1"/>
    <w:rsid w:val="3EF34989"/>
    <w:rsid w:val="3F105103"/>
    <w:rsid w:val="405E78A2"/>
    <w:rsid w:val="43494F76"/>
    <w:rsid w:val="43C576AB"/>
    <w:rsid w:val="48A625CC"/>
    <w:rsid w:val="48B53C4B"/>
    <w:rsid w:val="4B9F1399"/>
    <w:rsid w:val="4C765562"/>
    <w:rsid w:val="4CB75D7B"/>
    <w:rsid w:val="4D9A5AD3"/>
    <w:rsid w:val="4E414C33"/>
    <w:rsid w:val="57D1495A"/>
    <w:rsid w:val="58121E00"/>
    <w:rsid w:val="58580C27"/>
    <w:rsid w:val="5B024A8C"/>
    <w:rsid w:val="5D7B372F"/>
    <w:rsid w:val="5F564A94"/>
    <w:rsid w:val="61272DD2"/>
    <w:rsid w:val="63050D9D"/>
    <w:rsid w:val="65E82439"/>
    <w:rsid w:val="675D1E99"/>
    <w:rsid w:val="689C1B20"/>
    <w:rsid w:val="70260CE2"/>
    <w:rsid w:val="723802D0"/>
    <w:rsid w:val="759E435E"/>
    <w:rsid w:val="789651BA"/>
    <w:rsid w:val="7AAD7458"/>
    <w:rsid w:val="7B7D4EC3"/>
    <w:rsid w:val="7CFF16D2"/>
    <w:rsid w:val="7FE3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Body Text Indent"/>
    <w:basedOn w:val="1"/>
    <w:qFormat/>
    <w:uiPriority w:val="0"/>
    <w:pPr>
      <w:spacing w:line="340" w:lineRule="atLeast"/>
      <w:ind w:firstLine="570"/>
    </w:p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1"/>
      </w:tabs>
      <w:spacing w:before="25" w:beforeLines="25" w:after="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semiHidden/>
    <w:qFormat/>
    <w:uiPriority w:val="0"/>
    <w:rPr>
      <w:vertAlign w:val="superscript"/>
    </w:rPr>
  </w:style>
  <w:style w:type="character" w:styleId="33">
    <w:name w:val="page number"/>
    <w:qFormat/>
    <w:uiPriority w:val="0"/>
    <w:rPr>
      <w:rFonts w:ascii="Times New Roman" w:hAnsi="Times New Roman" w:eastAsia="宋体"/>
      <w:sz w:val="18"/>
    </w:rPr>
  </w:style>
  <w:style w:type="character" w:styleId="34">
    <w:name w:val="FollowedHyperlink"/>
    <w:qFormat/>
    <w:uiPriority w:val="0"/>
    <w:rPr>
      <w:color w:val="800080"/>
      <w:u w:val="single"/>
    </w:rPr>
  </w:style>
  <w:style w:type="character" w:styleId="35">
    <w:name w:val="Hyperlink"/>
    <w:qFormat/>
    <w:uiPriority w:val="0"/>
    <w:rPr>
      <w:color w:val="0000FF"/>
      <w:spacing w:val="0"/>
      <w:w w:val="100"/>
      <w:szCs w:val="21"/>
      <w:u w:val="single"/>
      <w:lang w:val="en-US" w:eastAsia="zh-CN"/>
    </w:rPr>
  </w:style>
  <w:style w:type="character" w:styleId="36">
    <w:name w:val="footnote reference"/>
    <w:semiHidden/>
    <w:qFormat/>
    <w:uiPriority w:val="0"/>
    <w:rPr>
      <w:vertAlign w:val="superscript"/>
    </w:rPr>
  </w:style>
  <w:style w:type="character" w:customStyle="1" w:styleId="37">
    <w:name w:val="段 Char"/>
    <w:link w:val="21"/>
    <w:qFormat/>
    <w:uiPriority w:val="0"/>
    <w:rPr>
      <w:rFonts w:ascii="宋体"/>
      <w:sz w:val="21"/>
      <w:lang w:val="en-US" w:eastAsia="zh-CN" w:bidi="ar-SA"/>
    </w:rPr>
  </w:style>
  <w:style w:type="character" w:customStyle="1" w:styleId="38">
    <w:name w:val="发布"/>
    <w:qFormat/>
    <w:uiPriority w:val="0"/>
    <w:rPr>
      <w:rFonts w:ascii="黑体" w:eastAsia="黑体"/>
      <w:spacing w:val="85"/>
      <w:w w:val="100"/>
      <w:position w:val="3"/>
      <w:sz w:val="28"/>
      <w:szCs w:val="28"/>
    </w:rPr>
  </w:style>
  <w:style w:type="character" w:customStyle="1" w:styleId="39">
    <w:name w:val="一级条标题 Char"/>
    <w:link w:val="40"/>
    <w:qFormat/>
    <w:uiPriority w:val="0"/>
    <w:rPr>
      <w:rFonts w:ascii="黑体" w:eastAsia="黑体"/>
      <w:sz w:val="21"/>
      <w:szCs w:val="21"/>
    </w:rPr>
  </w:style>
  <w:style w:type="paragraph" w:customStyle="1" w:styleId="40">
    <w:name w:val="一级条标题"/>
    <w:next w:val="21"/>
    <w:link w:val="39"/>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1">
    <w:name w:val="二级条标题 Char"/>
    <w:link w:val="42"/>
    <w:qFormat/>
    <w:uiPriority w:val="0"/>
  </w:style>
  <w:style w:type="paragraph" w:customStyle="1" w:styleId="42">
    <w:name w:val="二级条标题"/>
    <w:basedOn w:val="40"/>
    <w:next w:val="21"/>
    <w:link w:val="41"/>
    <w:qFormat/>
    <w:uiPriority w:val="0"/>
    <w:pPr>
      <w:spacing w:before="50" w:after="50"/>
      <w:outlineLvl w:val="3"/>
    </w:pPr>
  </w:style>
  <w:style w:type="character" w:customStyle="1" w:styleId="43">
    <w:name w:val="二级无 Char"/>
    <w:link w:val="44"/>
    <w:qFormat/>
    <w:uiPriority w:val="0"/>
    <w:rPr>
      <w:rFonts w:ascii="宋体" w:eastAsia="宋体"/>
      <w:sz w:val="21"/>
      <w:szCs w:val="21"/>
      <w:lang w:val="en-US" w:eastAsia="zh-CN" w:bidi="ar-SA"/>
    </w:rPr>
  </w:style>
  <w:style w:type="paragraph" w:customStyle="1" w:styleId="44">
    <w:name w:val="二级无"/>
    <w:basedOn w:val="42"/>
    <w:link w:val="43"/>
    <w:qFormat/>
    <w:uiPriority w:val="0"/>
    <w:pPr>
      <w:spacing w:before="0" w:beforeLines="0" w:after="0" w:afterLines="0"/>
    </w:pPr>
    <w:rPr>
      <w:rFonts w:ascii="宋体" w:eastAsia="宋体"/>
    </w:rPr>
  </w:style>
  <w:style w:type="character" w:customStyle="1" w:styleId="45">
    <w:name w:val="首示例 Char"/>
    <w:link w:val="46"/>
    <w:qFormat/>
    <w:uiPriority w:val="0"/>
    <w:rPr>
      <w:rFonts w:ascii="宋体" w:hAnsi="宋体"/>
      <w:kern w:val="2"/>
      <w:sz w:val="18"/>
      <w:szCs w:val="18"/>
      <w:lang w:val="en-US" w:eastAsia="zh-CN" w:bidi="ar-SA"/>
    </w:rPr>
  </w:style>
  <w:style w:type="paragraph" w:customStyle="1" w:styleId="46">
    <w:name w:val="首示例"/>
    <w:next w:val="21"/>
    <w:link w:val="45"/>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7">
    <w:name w:val="附录公式 Char"/>
    <w:basedOn w:val="37"/>
    <w:link w:val="48"/>
    <w:qFormat/>
    <w:uiPriority w:val="0"/>
    <w:rPr>
      <w:rFonts w:ascii="宋体"/>
      <w:sz w:val="21"/>
      <w:lang w:val="en-US" w:eastAsia="zh-CN" w:bidi="ar-SA"/>
    </w:rPr>
  </w:style>
  <w:style w:type="paragraph" w:customStyle="1" w:styleId="48">
    <w:name w:val="附录公式"/>
    <w:basedOn w:val="21"/>
    <w:next w:val="21"/>
    <w:link w:val="47"/>
    <w:qFormat/>
    <w:uiPriority w:val="0"/>
  </w:style>
  <w:style w:type="paragraph" w:customStyle="1" w:styleId="49">
    <w:name w:val="附录三级无"/>
    <w:basedOn w:val="50"/>
    <w:qFormat/>
    <w:uiPriority w:val="0"/>
    <w:pPr>
      <w:tabs>
        <w:tab w:val="left" w:pos="360"/>
      </w:tabs>
      <w:spacing w:before="0" w:beforeLines="0" w:after="0" w:afterLines="0"/>
    </w:pPr>
    <w:rPr>
      <w:rFonts w:ascii="宋体" w:eastAsia="宋体"/>
      <w:szCs w:val="21"/>
    </w:rPr>
  </w:style>
  <w:style w:type="paragraph" w:customStyle="1" w:styleId="50">
    <w:name w:val="附录三级条标题"/>
    <w:basedOn w:val="51"/>
    <w:next w:val="21"/>
    <w:qFormat/>
    <w:uiPriority w:val="0"/>
    <w:pPr>
      <w:tabs>
        <w:tab w:val="left" w:pos="360"/>
      </w:tabs>
      <w:outlineLvl w:val="4"/>
    </w:pPr>
  </w:style>
  <w:style w:type="paragraph" w:customStyle="1" w:styleId="51">
    <w:name w:val="附录二级条标题"/>
    <w:basedOn w:val="1"/>
    <w:next w:val="21"/>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2">
    <w:name w:val="一级无"/>
    <w:basedOn w:val="40"/>
    <w:qFormat/>
    <w:uiPriority w:val="0"/>
    <w:pPr>
      <w:spacing w:before="0" w:beforeLines="0" w:after="0" w:afterLines="0"/>
    </w:pPr>
    <w:rPr>
      <w:rFonts w:ascii="宋体" w:eastAsia="宋体"/>
    </w:rPr>
  </w:style>
  <w:style w:type="paragraph" w:customStyle="1" w:styleId="5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5">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标准书眉_偶数页"/>
    <w:basedOn w:val="57"/>
    <w:next w:val="1"/>
    <w:qFormat/>
    <w:uiPriority w:val="0"/>
    <w:pPr>
      <w:tabs>
        <w:tab w:val="center" w:pos="4154"/>
        <w:tab w:val="right" w:pos="8306"/>
      </w:tabs>
      <w:jc w:val="left"/>
    </w:pPr>
  </w:style>
  <w:style w:type="paragraph" w:customStyle="1" w:styleId="5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8">
    <w:name w:val="示例后文字"/>
    <w:basedOn w:val="21"/>
    <w:next w:val="21"/>
    <w:qFormat/>
    <w:uiPriority w:val="0"/>
    <w:pPr>
      <w:ind w:firstLine="360"/>
    </w:pPr>
    <w:rPr>
      <w:sz w:val="18"/>
    </w:rPr>
  </w:style>
  <w:style w:type="paragraph" w:customStyle="1" w:styleId="59">
    <w:name w:val="附录五级无"/>
    <w:basedOn w:val="60"/>
    <w:qFormat/>
    <w:uiPriority w:val="0"/>
    <w:pPr>
      <w:tabs>
        <w:tab w:val="left" w:pos="360"/>
      </w:tabs>
      <w:spacing w:before="0" w:beforeLines="0" w:after="0" w:afterLines="0"/>
    </w:pPr>
    <w:rPr>
      <w:rFonts w:ascii="宋体" w:eastAsia="宋体"/>
      <w:szCs w:val="21"/>
    </w:rPr>
  </w:style>
  <w:style w:type="paragraph" w:customStyle="1" w:styleId="60">
    <w:name w:val="附录五级条标题"/>
    <w:basedOn w:val="61"/>
    <w:next w:val="21"/>
    <w:qFormat/>
    <w:uiPriority w:val="0"/>
    <w:pPr>
      <w:tabs>
        <w:tab w:val="left" w:pos="360"/>
      </w:tabs>
      <w:outlineLvl w:val="6"/>
    </w:pPr>
  </w:style>
  <w:style w:type="paragraph" w:customStyle="1" w:styleId="61">
    <w:name w:val="附录四级条标题"/>
    <w:basedOn w:val="50"/>
    <w:next w:val="21"/>
    <w:qFormat/>
    <w:uiPriority w:val="0"/>
    <w:pPr>
      <w:outlineLvl w:val="5"/>
    </w:pPr>
  </w:style>
  <w:style w:type="paragraph" w:customStyle="1" w:styleId="62">
    <w:name w:val="封面一致性程度标识2"/>
    <w:basedOn w:val="63"/>
    <w:qFormat/>
    <w:uiPriority w:val="0"/>
    <w:pPr>
      <w:framePr w:wrap="around" w:y="4469"/>
    </w:pPr>
  </w:style>
  <w:style w:type="paragraph" w:customStyle="1" w:styleId="63">
    <w:name w:val="封面一致性程度标识"/>
    <w:basedOn w:val="64"/>
    <w:qFormat/>
    <w:uiPriority w:val="0"/>
    <w:pPr>
      <w:framePr w:wrap="around"/>
      <w:spacing w:before="440"/>
    </w:pPr>
    <w:rPr>
      <w:rFonts w:ascii="宋体" w:eastAsia="宋体"/>
    </w:rPr>
  </w:style>
  <w:style w:type="paragraph" w:customStyle="1" w:styleId="64">
    <w:name w:val="封面标准英文名称"/>
    <w:basedOn w:val="65"/>
    <w:qFormat/>
    <w:uiPriority w:val="0"/>
    <w:pPr>
      <w:framePr w:wrap="around"/>
      <w:spacing w:before="370" w:line="400" w:lineRule="exact"/>
    </w:pPr>
    <w:rPr>
      <w:rFonts w:ascii="Times New Roman"/>
      <w:sz w:val="28"/>
      <w:szCs w:val="28"/>
    </w:rPr>
  </w:style>
  <w:style w:type="paragraph" w:customStyle="1" w:styleId="6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附录二级无"/>
    <w:basedOn w:val="51"/>
    <w:qFormat/>
    <w:uiPriority w:val="0"/>
    <w:pPr>
      <w:tabs>
        <w:tab w:val="clear" w:pos="360"/>
      </w:tabs>
      <w:spacing w:before="0" w:beforeLines="0" w:after="0" w:afterLines="0"/>
    </w:pPr>
    <w:rPr>
      <w:rFonts w:ascii="宋体" w:eastAsia="宋体"/>
      <w:szCs w:val="21"/>
    </w:rPr>
  </w:style>
  <w:style w:type="paragraph" w:customStyle="1" w:styleId="67">
    <w:name w:val="注：（正文）"/>
    <w:basedOn w:val="68"/>
    <w:next w:val="21"/>
    <w:qFormat/>
    <w:uiPriority w:val="0"/>
  </w:style>
  <w:style w:type="paragraph" w:customStyle="1" w:styleId="68">
    <w:name w:val="注："/>
    <w:next w:val="21"/>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9">
    <w:name w:val="附录章标题"/>
    <w:next w:val="21"/>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附录标识"/>
    <w:basedOn w:val="1"/>
    <w:next w:val="21"/>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3">
    <w:name w:val="五级无标题条"/>
    <w:basedOn w:val="1"/>
    <w:qFormat/>
    <w:uiPriority w:val="0"/>
    <w:pPr>
      <w:numPr>
        <w:ilvl w:val="6"/>
        <w:numId w:val="5"/>
      </w:numPr>
    </w:pPr>
  </w:style>
  <w:style w:type="paragraph" w:customStyle="1" w:styleId="74">
    <w:name w:val="附录表标题"/>
    <w:basedOn w:val="1"/>
    <w:next w:val="21"/>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75">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76">
    <w:name w:val="封面标准文稿类别"/>
    <w:basedOn w:val="63"/>
    <w:qFormat/>
    <w:uiPriority w:val="0"/>
    <w:pPr>
      <w:framePr w:wrap="around"/>
      <w:spacing w:after="160" w:line="240" w:lineRule="auto"/>
    </w:pPr>
    <w:rPr>
      <w:sz w:val="24"/>
    </w:rPr>
  </w:style>
  <w:style w:type="paragraph" w:customStyle="1" w:styleId="77">
    <w:name w:val="正文表标题"/>
    <w:next w:val="21"/>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78">
    <w:name w:val="章标题"/>
    <w:next w:val="21"/>
    <w:qFormat/>
    <w:uiPriority w:val="0"/>
    <w:pPr>
      <w:numPr>
        <w:ilvl w:val="0"/>
        <w:numId w:val="8"/>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9">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80">
    <w:name w:val="示例×："/>
    <w:basedOn w:val="78"/>
    <w:qFormat/>
    <w:uiPriority w:val="0"/>
    <w:pPr>
      <w:numPr>
        <w:numId w:val="10"/>
      </w:numPr>
      <w:spacing w:before="0" w:beforeLines="0" w:after="0" w:afterLines="0"/>
      <w:outlineLvl w:val="9"/>
    </w:pPr>
    <w:rPr>
      <w:rFonts w:ascii="宋体" w:eastAsia="宋体"/>
      <w:sz w:val="18"/>
      <w:szCs w:val="18"/>
    </w:rPr>
  </w:style>
  <w:style w:type="paragraph" w:customStyle="1" w:styleId="81">
    <w:name w:val="二级无标题条"/>
    <w:basedOn w:val="1"/>
    <w:qFormat/>
    <w:uiPriority w:val="0"/>
    <w:pPr>
      <w:numPr>
        <w:ilvl w:val="3"/>
        <w:numId w:val="5"/>
      </w:numPr>
    </w:pPr>
  </w:style>
  <w:style w:type="paragraph" w:customStyle="1" w:styleId="8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4">
    <w:name w:val="封面标准名称2"/>
    <w:basedOn w:val="65"/>
    <w:qFormat/>
    <w:uiPriority w:val="0"/>
    <w:pPr>
      <w:framePr w:wrap="around" w:y="4469"/>
      <w:spacing w:before="630" w:beforeLines="630"/>
    </w:pPr>
  </w:style>
  <w:style w:type="paragraph" w:customStyle="1" w:styleId="8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8">
    <w:name w:val="附录标题"/>
    <w:basedOn w:val="21"/>
    <w:next w:val="21"/>
    <w:qFormat/>
    <w:uiPriority w:val="0"/>
    <w:pPr>
      <w:ind w:firstLine="0" w:firstLineChars="0"/>
      <w:jc w:val="center"/>
    </w:pPr>
    <w:rPr>
      <w:rFonts w:ascii="黑体" w:eastAsia="黑体"/>
    </w:rPr>
  </w:style>
  <w:style w:type="paragraph" w:customStyle="1" w:styleId="8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9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1">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92">
    <w:name w:val="附录四级无"/>
    <w:basedOn w:val="61"/>
    <w:qFormat/>
    <w:uiPriority w:val="0"/>
    <w:pPr>
      <w:tabs>
        <w:tab w:val="clear" w:pos="360"/>
      </w:tabs>
      <w:spacing w:before="0" w:beforeLines="0" w:after="0" w:afterLines="0"/>
    </w:pPr>
    <w:rPr>
      <w:rFonts w:ascii="宋体" w:eastAsia="宋体"/>
      <w:szCs w:val="21"/>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其他标准标志"/>
    <w:basedOn w:val="83"/>
    <w:qFormat/>
    <w:uiPriority w:val="0"/>
    <w:pPr>
      <w:framePr w:w="6101" w:wrap="around" w:vAnchor="page" w:hAnchor="page" w:x="4673" w:y="942"/>
    </w:pPr>
    <w:rPr>
      <w:w w:val="130"/>
    </w:rPr>
  </w:style>
  <w:style w:type="paragraph" w:customStyle="1" w:styleId="95">
    <w:name w:val="列项◆（三级）"/>
    <w:basedOn w:val="1"/>
    <w:qFormat/>
    <w:uiPriority w:val="0"/>
    <w:pPr>
      <w:numPr>
        <w:ilvl w:val="2"/>
        <w:numId w:val="3"/>
      </w:numPr>
    </w:pPr>
    <w:rPr>
      <w:rFonts w:ascii="宋体"/>
      <w:szCs w:val="21"/>
    </w:rPr>
  </w:style>
  <w:style w:type="paragraph" w:customStyle="1" w:styleId="96">
    <w:name w:val="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97">
    <w:name w:val="附录图标题"/>
    <w:basedOn w:val="1"/>
    <w:next w:val="21"/>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8">
    <w:name w:val="正文图标题"/>
    <w:next w:val="21"/>
    <w:qFormat/>
    <w:uiPriority w:val="0"/>
    <w:pPr>
      <w:numPr>
        <w:ilvl w:val="0"/>
        <w:numId w:val="1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三级无标题条"/>
    <w:basedOn w:val="1"/>
    <w:qFormat/>
    <w:uiPriority w:val="0"/>
    <w:pPr>
      <w:numPr>
        <w:ilvl w:val="4"/>
        <w:numId w:val="5"/>
      </w:numPr>
    </w:pPr>
  </w:style>
  <w:style w:type="paragraph" w:customStyle="1" w:styleId="102">
    <w:name w:val="附录一级条标题"/>
    <w:basedOn w:val="69"/>
    <w:next w:val="21"/>
    <w:qFormat/>
    <w:uiPriority w:val="0"/>
    <w:pPr>
      <w:numPr>
        <w:ilvl w:val="2"/>
      </w:numPr>
      <w:autoSpaceDN w:val="0"/>
      <w:spacing w:before="50" w:beforeLines="50" w:after="50" w:afterLines="50"/>
      <w:outlineLvl w:val="2"/>
    </w:pPr>
  </w:style>
  <w:style w:type="paragraph" w:customStyle="1" w:styleId="103">
    <w:name w:val="附录表标号"/>
    <w:basedOn w:val="1"/>
    <w:next w:val="21"/>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104">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05">
    <w:name w:val="五级条标题"/>
    <w:basedOn w:val="106"/>
    <w:next w:val="21"/>
    <w:qFormat/>
    <w:uiPriority w:val="0"/>
    <w:pPr>
      <w:outlineLvl w:val="6"/>
    </w:pPr>
  </w:style>
  <w:style w:type="paragraph" w:customStyle="1" w:styleId="106">
    <w:name w:val="四级条标题"/>
    <w:basedOn w:val="107"/>
    <w:next w:val="21"/>
    <w:qFormat/>
    <w:uiPriority w:val="0"/>
    <w:pPr>
      <w:outlineLvl w:val="5"/>
    </w:pPr>
  </w:style>
  <w:style w:type="paragraph" w:customStyle="1" w:styleId="107">
    <w:name w:val="三级条标题"/>
    <w:basedOn w:val="42"/>
    <w:next w:val="21"/>
    <w:qFormat/>
    <w:uiPriority w:val="0"/>
    <w:pPr>
      <w:outlineLvl w:val="4"/>
    </w:pPr>
  </w:style>
  <w:style w:type="paragraph" w:customStyle="1" w:styleId="108">
    <w:name w:val="封面标准文稿编辑信息2"/>
    <w:basedOn w:val="109"/>
    <w:qFormat/>
    <w:uiPriority w:val="0"/>
    <w:pPr>
      <w:framePr w:wrap="around" w:y="4469"/>
    </w:pPr>
  </w:style>
  <w:style w:type="paragraph" w:customStyle="1" w:styleId="109">
    <w:name w:val="封面标准文稿编辑信息"/>
    <w:basedOn w:val="76"/>
    <w:qFormat/>
    <w:uiPriority w:val="0"/>
    <w:pPr>
      <w:framePr w:wrap="around"/>
      <w:spacing w:before="180" w:line="180" w:lineRule="exact"/>
    </w:pPr>
    <w:rPr>
      <w:sz w:val="21"/>
    </w:rPr>
  </w:style>
  <w:style w:type="paragraph" w:customStyle="1" w:styleId="110">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112">
    <w:name w:val="附录一级无"/>
    <w:basedOn w:val="102"/>
    <w:qFormat/>
    <w:uiPriority w:val="0"/>
    <w:pPr>
      <w:tabs>
        <w:tab w:val="clear" w:pos="360"/>
      </w:tabs>
      <w:spacing w:before="0" w:beforeLines="0" w:after="0" w:afterLines="0"/>
    </w:pPr>
    <w:rPr>
      <w:rFonts w:ascii="宋体" w:eastAsia="宋体"/>
      <w:szCs w:val="21"/>
    </w:rPr>
  </w:style>
  <w:style w:type="paragraph" w:customStyle="1" w:styleId="113">
    <w:name w:val="其他发布日期"/>
    <w:basedOn w:val="90"/>
    <w:qFormat/>
    <w:uiPriority w:val="0"/>
    <w:pPr>
      <w:framePr w:wrap="around" w:vAnchor="page" w:hAnchor="text" w:x="1419"/>
    </w:pPr>
  </w:style>
  <w:style w:type="paragraph" w:customStyle="1" w:styleId="114">
    <w:name w:val="标准书眉一"/>
    <w:qFormat/>
    <w:uiPriority w:val="0"/>
    <w:pPr>
      <w:jc w:val="both"/>
    </w:pPr>
    <w:rPr>
      <w:rFonts w:ascii="Times New Roman" w:hAnsi="Times New Roman" w:eastAsia="宋体" w:cs="Times New Roman"/>
      <w:lang w:val="en-US" w:eastAsia="zh-CN" w:bidi="ar-SA"/>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9">
    <w:name w:val="图标脚注说明"/>
    <w:basedOn w:val="21"/>
    <w:qFormat/>
    <w:uiPriority w:val="0"/>
    <w:pPr>
      <w:ind w:left="840" w:hanging="420" w:firstLineChars="0"/>
    </w:pPr>
    <w:rPr>
      <w:sz w:val="18"/>
      <w:szCs w:val="18"/>
    </w:rPr>
  </w:style>
  <w:style w:type="paragraph" w:customStyle="1" w:styleId="120">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21">
    <w:name w:val="示例"/>
    <w:next w:val="86"/>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122">
    <w:name w:val="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3">
    <w:name w:val="封面标准英文名称2"/>
    <w:basedOn w:val="64"/>
    <w:qFormat/>
    <w:uiPriority w:val="0"/>
    <w:pPr>
      <w:framePr w:wrap="around" w:y="4469"/>
    </w:pPr>
  </w:style>
  <w:style w:type="paragraph" w:customStyle="1" w:styleId="124">
    <w:name w:val="其他发布部门"/>
    <w:basedOn w:val="125"/>
    <w:qFormat/>
    <w:uiPriority w:val="0"/>
    <w:pPr>
      <w:framePr w:wrap="around" w:y="15310"/>
      <w:spacing w:line="0" w:lineRule="atLeast"/>
    </w:pPr>
    <w:rPr>
      <w:rFonts w:ascii="黑体" w:eastAsia="黑体"/>
      <w:b w:val="0"/>
    </w:rPr>
  </w:style>
  <w:style w:type="paragraph" w:customStyle="1" w:styleId="125">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条文脚注"/>
    <w:basedOn w:val="22"/>
    <w:qFormat/>
    <w:uiPriority w:val="0"/>
    <w:pPr>
      <w:numPr>
        <w:numId w:val="0"/>
      </w:numPr>
      <w:jc w:val="both"/>
    </w:pPr>
  </w:style>
  <w:style w:type="paragraph" w:customStyle="1" w:styleId="128">
    <w:name w:val="正文公式编号制表符"/>
    <w:basedOn w:val="21"/>
    <w:next w:val="21"/>
    <w:qFormat/>
    <w:uiPriority w:val="0"/>
    <w:pPr>
      <w:ind w:firstLine="0" w:firstLineChars="0"/>
    </w:pPr>
  </w:style>
  <w:style w:type="paragraph" w:customStyle="1" w:styleId="129">
    <w:name w:val="封面标准文稿类别2"/>
    <w:basedOn w:val="76"/>
    <w:qFormat/>
    <w:uiPriority w:val="0"/>
    <w:pPr>
      <w:framePr w:wrap="around" w:y="4469"/>
    </w:pPr>
  </w:style>
  <w:style w:type="paragraph" w:customStyle="1" w:styleId="130">
    <w:name w:val="图表脚注说明"/>
    <w:basedOn w:val="1"/>
    <w:qFormat/>
    <w:uiPriority w:val="0"/>
    <w:pPr>
      <w:numPr>
        <w:ilvl w:val="0"/>
        <w:numId w:val="17"/>
      </w:numPr>
    </w:pPr>
    <w:rPr>
      <w:rFonts w:ascii="宋体"/>
      <w:sz w:val="18"/>
      <w:szCs w:val="18"/>
    </w:rPr>
  </w:style>
  <w:style w:type="paragraph" w:customStyle="1" w:styleId="131">
    <w:name w:val="其他实施日期"/>
    <w:basedOn w:val="132"/>
    <w:qFormat/>
    <w:uiPriority w:val="0"/>
    <w:pPr>
      <w:framePr w:wrap="around"/>
    </w:pPr>
  </w:style>
  <w:style w:type="paragraph" w:customStyle="1" w:styleId="132">
    <w:name w:val="实施日期"/>
    <w:basedOn w:val="90"/>
    <w:qFormat/>
    <w:uiPriority w:val="0"/>
    <w:pPr>
      <w:framePr w:wrap="around" w:vAnchor="page" w:hAnchor="text"/>
      <w:jc w:val="right"/>
    </w:pPr>
  </w:style>
  <w:style w:type="paragraph" w:customStyle="1" w:styleId="133">
    <w:name w:val="五级无"/>
    <w:basedOn w:val="105"/>
    <w:qFormat/>
    <w:uiPriority w:val="0"/>
    <w:pPr>
      <w:spacing w:before="0" w:beforeLines="0" w:after="0" w:afterLines="0"/>
    </w:pPr>
    <w:rPr>
      <w:rFonts w:ascii="宋体" w:eastAsia="宋体"/>
    </w:rPr>
  </w:style>
  <w:style w:type="paragraph" w:customStyle="1" w:styleId="134">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三级无"/>
    <w:basedOn w:val="107"/>
    <w:qFormat/>
    <w:uiPriority w:val="0"/>
    <w:pPr>
      <w:spacing w:before="0" w:beforeLines="0" w:after="0" w:afterLines="0"/>
    </w:pPr>
    <w:rPr>
      <w:rFonts w:ascii="宋体" w:eastAsia="宋体"/>
    </w:rPr>
  </w:style>
  <w:style w:type="paragraph" w:customStyle="1" w:styleId="13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8">
    <w:name w:val="四级无标题条"/>
    <w:basedOn w:val="1"/>
    <w:qFormat/>
    <w:uiPriority w:val="0"/>
    <w:pPr>
      <w:numPr>
        <w:ilvl w:val="5"/>
        <w:numId w:val="5"/>
      </w:numPr>
    </w:pPr>
  </w:style>
  <w:style w:type="paragraph" w:customStyle="1" w:styleId="139">
    <w:name w:val="四级无"/>
    <w:basedOn w:val="106"/>
    <w:qFormat/>
    <w:uiPriority w:val="0"/>
    <w:pPr>
      <w:spacing w:before="0" w:beforeLines="0" w:after="0" w:afterLines="0"/>
    </w:pPr>
    <w:rPr>
      <w:rFonts w:ascii="宋体" w:eastAsia="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博文企业标准工作室</Company>
  <Pages>6</Pages>
  <Words>445</Words>
  <Characters>2542</Characters>
  <Lines>21</Lines>
  <Paragraphs>5</Paragraphs>
  <TotalTime>0</TotalTime>
  <ScaleCrop>false</ScaleCrop>
  <LinksUpToDate>false</LinksUpToDate>
  <CharactersWithSpaces>2982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2020-12-31T09:10:00Z</dcterms:created>
  <dc:creator>Q1317614086</dc:creator>
  <cp:lastModifiedBy>米道</cp:lastModifiedBy>
  <cp:lastPrinted>2012-10-22T03:23:00Z</cp:lastPrinted>
  <dcterms:modified xsi:type="dcterms:W3CDTF">2021-05-12T08:01:47Z</dcterms:modified>
  <dc:title>企业标准编写与备案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979FFB57B9B34377BFA7A189E9A8C62B</vt:lpwstr>
  </property>
</Properties>
</file>