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DEC71" w14:textId="77777777" w:rsidR="009D6B7A" w:rsidRDefault="00FF1B05">
      <w:pPr>
        <w:pStyle w:val="af6"/>
        <w:sectPr w:rsidR="009D6B7A">
          <w:headerReference w:type="even" r:id="rId8"/>
          <w:headerReference w:type="default" r:id="rId9"/>
          <w:footerReference w:type="even" r:id="rId10"/>
          <w:footerReference w:type="default" r:id="rId11"/>
          <w:headerReference w:type="first" r:id="rId12"/>
          <w:footerReference w:type="first" r:id="rId13"/>
          <w:pgSz w:w="11907" w:h="16840"/>
          <w:pgMar w:top="1134" w:right="1134" w:bottom="1134" w:left="1134" w:header="851" w:footer="851" w:gutter="0"/>
          <w:cols w:space="720"/>
          <w:titlePg/>
          <w:docGrid w:linePitch="312"/>
        </w:sectPr>
      </w:pPr>
      <w:r>
        <w:rPr>
          <w:noProof/>
        </w:rPr>
        <mc:AlternateContent>
          <mc:Choice Requires="wps">
            <w:drawing>
              <wp:anchor distT="0" distB="0" distL="114300" distR="114300" simplePos="0" relativeHeight="251662336" behindDoc="0" locked="0" layoutInCell="1" allowOverlap="1" wp14:anchorId="3BC2A5E3" wp14:editId="3562C484">
                <wp:simplePos x="0" y="0"/>
                <wp:positionH relativeFrom="column">
                  <wp:posOffset>5180965</wp:posOffset>
                </wp:positionH>
                <wp:positionV relativeFrom="paragraph">
                  <wp:posOffset>8798560</wp:posOffset>
                </wp:positionV>
                <wp:extent cx="666750" cy="396240"/>
                <wp:effectExtent l="5080" t="12700" r="13970" b="10160"/>
                <wp:wrapNone/>
                <wp:docPr id="12"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ln>
                      </wps:spPr>
                      <wps:txbx>
                        <w:txbxContent>
                          <w:p w14:paraId="41E3658C" w14:textId="77777777" w:rsidR="009D6B7A" w:rsidRDefault="00FF1B05">
                            <w:r>
                              <w:rPr>
                                <w:rStyle w:val="af"/>
                                <w:rFonts w:hint="eastAsia"/>
                              </w:rPr>
                              <w:t>发布</w:t>
                            </w:r>
                          </w:p>
                        </w:txbxContent>
                      </wps:txbx>
                      <wps:bodyPr rot="0" vert="horz" wrap="square" lIns="91440" tIns="45720" rIns="91440" bIns="45720" anchor="t" anchorCtr="0" upright="1">
                        <a:noAutofit/>
                      </wps:bodyPr>
                    </wps:wsp>
                  </a:graphicData>
                </a:graphic>
              </wp:anchor>
            </w:drawing>
          </mc:Choice>
          <mc:Fallback>
            <w:pict>
              <v:rect w14:anchorId="3BC2A5E3" id="矩形 14" o:spid="_x0000_s1026" style="position:absolute;left:0;text-align:left;margin-left:407.95pt;margin-top:692.8pt;width:52.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" strokecolor="white">
                <v:textbox>
                  <w:txbxContent>
                    <w:p w14:paraId="41E3658C" w14:textId="77777777" w:rsidR="009D6B7A" w:rsidRDefault="00FF1B05">
                      <w:r>
                        <w:rPr>
                          <w:rStyle w:val="af"/>
                          <w:rFonts w:hint="eastAsia"/>
                        </w:rPr>
                        <w:t>发布</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2919C7A2" wp14:editId="5D0C56DC">
                <wp:simplePos x="0" y="0"/>
                <wp:positionH relativeFrom="column">
                  <wp:posOffset>0</wp:posOffset>
                </wp:positionH>
                <wp:positionV relativeFrom="paragraph">
                  <wp:posOffset>2159635</wp:posOffset>
                </wp:positionV>
                <wp:extent cx="6121400" cy="0"/>
                <wp:effectExtent l="15240" t="12700" r="6985" b="6350"/>
                <wp:wrapNone/>
                <wp:docPr id="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11" o:spid="_x0000_s1026" o:spt="20" style="position:absolute;left:0pt;margin-left:0pt;margin-top:170.05pt;height:0pt;width:482pt;z-index:251660288;mso-width-relative:page;mso-height-relative:page;" filled="f" stroked="t" coordsize="21600,21600" o:gfxdata="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v3WRLTAAAACAEAAA8AAAAAAAAAAQAgAAAA&#10;IgAAAGRycy9kb3ducmV2LnhtbFBLAQIUABQAAAAIAIdO4kBuHVgr1wEAAKQDAAAOAAAAAAAAAAEA&#10;IAAAACIBAABkcnMvZTJvRG9jLnhtbFBLBQYAAAAABgAGAFkBAABrBQ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1312" behindDoc="0" locked="0" layoutInCell="1" allowOverlap="1" wp14:anchorId="3D6D1AED" wp14:editId="1DAECA3F">
                <wp:simplePos x="0" y="0"/>
                <wp:positionH relativeFrom="column">
                  <wp:posOffset>0</wp:posOffset>
                </wp:positionH>
                <wp:positionV relativeFrom="paragraph">
                  <wp:posOffset>8618220</wp:posOffset>
                </wp:positionV>
                <wp:extent cx="6121400" cy="0"/>
                <wp:effectExtent l="15240" t="13335" r="6985" b="15240"/>
                <wp:wrapNone/>
                <wp:docPr id="10" name="直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直线 12" o:spid="_x0000_s1026" o:spt="20" style="position:absolute;left:0pt;margin-left:0pt;margin-top:678.6pt;height:0pt;width:482pt;z-index:251661312;mso-width-relative:page;mso-height-relative:page;" filled="f" stroked="t" coordsize="21600,21600" o:gfxdata="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r6m1d1AAAAAoBAAAPAAAAAAAAAAEAIAAA&#10;ACIAAABkcnMvZG93bnJldi54bWxQSwECFAAUAAAACACHTuJAsxQ5oNcBAACkAwAADgAAAAAAAAAB&#10;ACAAAAAjAQAAZHJzL2Uyb0RvYy54bWxQSwUGAAAAAAYABgBZAQAAbA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59264" behindDoc="0" locked="1" layoutInCell="1" allowOverlap="1" wp14:anchorId="559185B0" wp14:editId="4AC2909F">
                <wp:simplePos x="0" y="0"/>
                <wp:positionH relativeFrom="margin">
                  <wp:posOffset>0</wp:posOffset>
                </wp:positionH>
                <wp:positionV relativeFrom="margin">
                  <wp:posOffset>8618220</wp:posOffset>
                </wp:positionV>
                <wp:extent cx="6120130" cy="698500"/>
                <wp:effectExtent l="0" t="3810" r="0" b="254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8500"/>
                        </a:xfrm>
                        <a:prstGeom prst="rect">
                          <a:avLst/>
                        </a:prstGeom>
                        <a:solidFill>
                          <a:srgbClr val="FFFFFF"/>
                        </a:solidFill>
                        <a:ln>
                          <a:noFill/>
                        </a:ln>
                      </wps:spPr>
                      <wps:txbx>
                        <w:txbxContent>
                          <w:p w14:paraId="715034DD" w14:textId="77777777" w:rsidR="009D6B7A" w:rsidRDefault="00FF1B05">
                            <w:pPr>
                              <w:pStyle w:val="af9"/>
                              <w:ind w:firstLineChars="315" w:firstLine="1138"/>
                              <w:rPr>
                                <w:spacing w:val="0"/>
                                <w:w w:val="100"/>
                                <w:szCs w:val="36"/>
                              </w:rPr>
                            </w:pPr>
                            <w:r>
                              <w:rPr>
                                <w:rFonts w:hint="eastAsia"/>
                                <w:spacing w:val="0"/>
                                <w:w w:val="100"/>
                                <w:szCs w:val="36"/>
                              </w:rPr>
                              <w:t>国家市场监督管理总局</w:t>
                            </w:r>
                          </w:p>
                          <w:p w14:paraId="2D08FDC5" w14:textId="77777777" w:rsidR="009D6B7A" w:rsidRDefault="00FF1B05">
                            <w:pPr>
                              <w:pStyle w:val="af9"/>
                              <w:ind w:firstLineChars="315" w:firstLine="1138"/>
                              <w:rPr>
                                <w:spacing w:val="0"/>
                                <w:w w:val="100"/>
                                <w:szCs w:val="36"/>
                              </w:rPr>
                            </w:pPr>
                            <w:r>
                              <w:rPr>
                                <w:rFonts w:hint="eastAsia"/>
                                <w:spacing w:val="0"/>
                                <w:w w:val="100"/>
                                <w:szCs w:val="36"/>
                              </w:rPr>
                              <w:t>国家标准化管理委员会</w:t>
                            </w:r>
                          </w:p>
                          <w:p w14:paraId="4CFC2F3B" w14:textId="77777777" w:rsidR="009D6B7A" w:rsidRDefault="009D6B7A"/>
                        </w:txbxContent>
                      </wps:txbx>
                      <wps:bodyPr rot="0" vert="horz" wrap="square" lIns="0" tIns="0" rIns="0" bIns="0" anchor="t" anchorCtr="0" upright="1">
                        <a:noAutofit/>
                      </wps:bodyPr>
                    </wps:wsp>
                  </a:graphicData>
                </a:graphic>
              </wp:anchor>
            </w:drawing>
          </mc:Choice>
          <mc:Fallback>
            <w:pict>
              <v:shapetype w14:anchorId="559185B0" id="_x0000_t202" coordsize="21600,21600" o:spt="202" path="m,l,21600r21600,l21600,xe">
                <v:stroke joinstyle="miter"/>
                <v:path gradientshapeok="t" o:connecttype="rect"/>
              </v:shapetype>
              <v:shape id="fmFrame7" o:spid="_x0000_s1027" type="#_x0000_t202" style="position:absolute;left:0;text-align:left;margin-left:0;margin-top:678.6pt;width:481.9pt;height:55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" stroked="f">
                <v:textbox inset="0,0,0,0">
                  <w:txbxContent>
                    <w:p w14:paraId="715034DD" w14:textId="77777777" w:rsidR="009D6B7A" w:rsidRDefault="00FF1B05">
                      <w:pPr>
                        <w:pStyle w:val="af9"/>
                        <w:ind w:firstLineChars="315" w:firstLine="1138"/>
                        <w:rPr>
                          <w:spacing w:val="0"/>
                          <w:w w:val="100"/>
                          <w:szCs w:val="36"/>
                        </w:rPr>
                      </w:pPr>
                      <w:r>
                        <w:rPr>
                          <w:rFonts w:hint="eastAsia"/>
                          <w:spacing w:val="0"/>
                          <w:w w:val="100"/>
                          <w:szCs w:val="36"/>
                        </w:rPr>
                        <w:t>国家市场监督管理总局</w:t>
                      </w:r>
                    </w:p>
                    <w:p w14:paraId="2D08FDC5" w14:textId="77777777" w:rsidR="009D6B7A" w:rsidRDefault="00FF1B05">
                      <w:pPr>
                        <w:pStyle w:val="af9"/>
                        <w:ind w:firstLineChars="315" w:firstLine="1138"/>
                        <w:rPr>
                          <w:spacing w:val="0"/>
                          <w:w w:val="100"/>
                          <w:szCs w:val="36"/>
                        </w:rPr>
                      </w:pPr>
                      <w:r>
                        <w:rPr>
                          <w:rFonts w:hint="eastAsia"/>
                          <w:spacing w:val="0"/>
                          <w:w w:val="100"/>
                          <w:szCs w:val="36"/>
                        </w:rPr>
                        <w:t>国家标准化管理委员会</w:t>
                      </w:r>
                    </w:p>
                    <w:p w14:paraId="4CFC2F3B" w14:textId="77777777" w:rsidR="009D6B7A" w:rsidRDefault="009D6B7A"/>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2532FBE1" wp14:editId="2FF5B198">
                <wp:simplePos x="0" y="0"/>
                <wp:positionH relativeFrom="margin">
                  <wp:posOffset>4100830</wp:posOffset>
                </wp:positionH>
                <wp:positionV relativeFrom="margin">
                  <wp:posOffset>8291830</wp:posOffset>
                </wp:positionV>
                <wp:extent cx="2019300" cy="312420"/>
                <wp:effectExtent l="1270"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A8B3344" w14:textId="77777777" w:rsidR="009D6B7A" w:rsidRDefault="00FF1B05">
                            <w:pPr>
                              <w:pStyle w:val="aff2"/>
                            </w:pPr>
                            <w:r>
                              <w:rPr>
                                <w:rFonts w:hint="eastAsia"/>
                              </w:rPr>
                              <w:t>2</w:t>
                            </w:r>
                            <w:r>
                              <w:t>02</w:t>
                            </w: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2532FBE1" id="fmFrame6" o:spid="_x0000_s1028" type="#_x0000_t202" style="position:absolute;left:0;text-align:left;margin-left:322.9pt;margin-top:652.9pt;width:159pt;height:24.6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" stroked="f">
                <v:textbox inset="0,0,0,0">
                  <w:txbxContent>
                    <w:p w14:paraId="5A8B3344" w14:textId="77777777" w:rsidR="009D6B7A" w:rsidRDefault="00FF1B05">
                      <w:pPr>
                        <w:pStyle w:val="aff2"/>
                      </w:pPr>
                      <w:r>
                        <w:rPr>
                          <w:rFonts w:hint="eastAsia"/>
                        </w:rPr>
                        <w:t>2</w:t>
                      </w:r>
                      <w:r>
                        <w:t>02</w:t>
                      </w: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7FAAD94D" wp14:editId="585F4AF1">
                <wp:simplePos x="0" y="0"/>
                <wp:positionH relativeFrom="margin">
                  <wp:posOffset>0</wp:posOffset>
                </wp:positionH>
                <wp:positionV relativeFrom="margin">
                  <wp:posOffset>8291830</wp:posOffset>
                </wp:positionV>
                <wp:extent cx="2019300" cy="312420"/>
                <wp:effectExtent l="0" t="1270" r="3810"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952AEA0" w14:textId="77777777" w:rsidR="009D6B7A" w:rsidRDefault="00FF1B05">
                            <w:pPr>
                              <w:pStyle w:val="afc"/>
                            </w:pPr>
                            <w:r>
                              <w:rPr>
                                <w:rFonts w:hint="eastAsia"/>
                              </w:rPr>
                              <w:t>2</w:t>
                            </w:r>
                            <w:r>
                              <w:t>02</w:t>
                            </w: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7FAAD94D" id="fmFrame5" o:spid="_x0000_s1029" type="#_x0000_t202" style="position:absolute;left:0;text-align:left;margin-left:0;margin-top:652.9pt;width:159pt;height:24.6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" stroked="f">
                <v:textbox inset="0,0,0,0">
                  <w:txbxContent>
                    <w:p w14:paraId="4952AEA0" w14:textId="77777777" w:rsidR="009D6B7A" w:rsidRDefault="00FF1B05">
                      <w:pPr>
                        <w:pStyle w:val="afc"/>
                      </w:pPr>
                      <w:r>
                        <w:rPr>
                          <w:rFonts w:hint="eastAsia"/>
                        </w:rPr>
                        <w:t>2</w:t>
                      </w:r>
                      <w:r>
                        <w:t>02</w:t>
                      </w: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5ACAF603" wp14:editId="374CB199">
                <wp:simplePos x="0" y="0"/>
                <wp:positionH relativeFrom="margin">
                  <wp:posOffset>0</wp:posOffset>
                </wp:positionH>
                <wp:positionV relativeFrom="margin">
                  <wp:posOffset>2917825</wp:posOffset>
                </wp:positionV>
                <wp:extent cx="5969000" cy="4457700"/>
                <wp:effectExtent l="0" t="0"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57700"/>
                        </a:xfrm>
                        <a:prstGeom prst="rect">
                          <a:avLst/>
                        </a:prstGeom>
                        <a:solidFill>
                          <a:srgbClr val="FFFFFF"/>
                        </a:solidFill>
                        <a:ln>
                          <a:noFill/>
                        </a:ln>
                      </wps:spPr>
                      <wps:txbx>
                        <w:txbxContent>
                          <w:p w14:paraId="5C8762F0" w14:textId="77777777" w:rsidR="009D6B7A" w:rsidRDefault="00FF1B05">
                            <w:pPr>
                              <w:pStyle w:val="afd"/>
                              <w:rPr>
                                <w:b/>
                                <w:spacing w:val="20"/>
                                <w:sz w:val="44"/>
                              </w:rPr>
                            </w:pPr>
                            <w:r>
                              <w:rPr>
                                <w:rFonts w:hint="eastAsia"/>
                                <w:b/>
                                <w:spacing w:val="90"/>
                                <w:kern w:val="11"/>
                              </w:rPr>
                              <w:t>乙氧基化烷基硫酸钠</w:t>
                            </w:r>
                          </w:p>
                          <w:p w14:paraId="50EB6E06" w14:textId="77777777" w:rsidR="009D6B7A" w:rsidRDefault="00FF1B05">
                            <w:pPr>
                              <w:pStyle w:val="aff"/>
                              <w:rPr>
                                <w:sz w:val="32"/>
                              </w:rPr>
                            </w:pPr>
                            <w:r>
                              <w:rPr>
                                <w:sz w:val="32"/>
                              </w:rPr>
                              <w:t>Sodium ethoxylated alkyl sulfate</w:t>
                            </w:r>
                          </w:p>
                          <w:p w14:paraId="72E8B80A" w14:textId="77777777" w:rsidR="009D6B7A" w:rsidRDefault="00FF1B05">
                            <w:pPr>
                              <w:pStyle w:val="aff"/>
                            </w:pPr>
                            <w:r>
                              <w:rPr>
                                <w:rFonts w:hint="eastAsia"/>
                              </w:rPr>
                              <w:t>（送审稿）</w:t>
                            </w:r>
                          </w:p>
                          <w:p w14:paraId="64E94BFF" w14:textId="77777777" w:rsidR="009D6B7A" w:rsidRDefault="009D6B7A">
                            <w:pPr>
                              <w:pStyle w:val="afb"/>
                            </w:pPr>
                          </w:p>
                          <w:p w14:paraId="651552EC" w14:textId="77777777" w:rsidR="009D6B7A" w:rsidRDefault="009D6B7A">
                            <w:pPr>
                              <w:pStyle w:val="afa"/>
                            </w:pPr>
                          </w:p>
                          <w:p w14:paraId="7E1B070A" w14:textId="77777777" w:rsidR="009D6B7A" w:rsidRDefault="009D6B7A">
                            <w:pPr>
                              <w:pStyle w:val="aff3"/>
                            </w:pPr>
                          </w:p>
                        </w:txbxContent>
                      </wps:txbx>
                      <wps:bodyPr rot="0" vert="horz" wrap="square" lIns="0" tIns="0" rIns="0" bIns="0" anchor="t" anchorCtr="0" upright="1">
                        <a:noAutofit/>
                      </wps:bodyPr>
                    </wps:wsp>
                  </a:graphicData>
                </a:graphic>
              </wp:anchor>
            </w:drawing>
          </mc:Choice>
          <mc:Fallback>
            <w:pict>
              <v:shape w14:anchorId="5ACAF603" id="fmFrame4" o:spid="_x0000_s1030" type="#_x0000_t202" style="position:absolute;left:0;text-align:left;margin-left:0;margin-top:229.75pt;width:470pt;height:351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" stroked="f">
                <v:textbox inset="0,0,0,0">
                  <w:txbxContent>
                    <w:p w14:paraId="5C8762F0" w14:textId="77777777" w:rsidR="009D6B7A" w:rsidRDefault="00FF1B05">
                      <w:pPr>
                        <w:pStyle w:val="afd"/>
                        <w:rPr>
                          <w:b/>
                          <w:spacing w:val="20"/>
                          <w:sz w:val="44"/>
                        </w:rPr>
                      </w:pPr>
                      <w:r>
                        <w:rPr>
                          <w:rFonts w:hint="eastAsia"/>
                          <w:b/>
                          <w:spacing w:val="90"/>
                          <w:kern w:val="11"/>
                        </w:rPr>
                        <w:t>乙氧基化烷基硫酸钠</w:t>
                      </w:r>
                    </w:p>
                    <w:p w14:paraId="50EB6E06" w14:textId="77777777" w:rsidR="009D6B7A" w:rsidRDefault="00FF1B05">
                      <w:pPr>
                        <w:pStyle w:val="aff"/>
                        <w:rPr>
                          <w:sz w:val="32"/>
                        </w:rPr>
                      </w:pPr>
                      <w:r>
                        <w:rPr>
                          <w:sz w:val="32"/>
                        </w:rPr>
                        <w:t>Sodium ethoxylated alkyl sulfate</w:t>
                      </w:r>
                    </w:p>
                    <w:p w14:paraId="72E8B80A" w14:textId="77777777" w:rsidR="009D6B7A" w:rsidRDefault="00FF1B05">
                      <w:pPr>
                        <w:pStyle w:val="aff"/>
                      </w:pPr>
                      <w:r>
                        <w:rPr>
                          <w:rFonts w:hint="eastAsia"/>
                        </w:rPr>
                        <w:t>（送审稿）</w:t>
                      </w:r>
                    </w:p>
                    <w:p w14:paraId="64E94BFF" w14:textId="77777777" w:rsidR="009D6B7A" w:rsidRDefault="009D6B7A">
                      <w:pPr>
                        <w:pStyle w:val="afb"/>
                      </w:pPr>
                    </w:p>
                    <w:p w14:paraId="651552EC" w14:textId="77777777" w:rsidR="009D6B7A" w:rsidRDefault="009D6B7A">
                      <w:pPr>
                        <w:pStyle w:val="afa"/>
                      </w:pPr>
                    </w:p>
                    <w:p w14:paraId="7E1B070A" w14:textId="77777777" w:rsidR="009D6B7A" w:rsidRDefault="009D6B7A">
                      <w:pPr>
                        <w:pStyle w:val="aff3"/>
                      </w:pP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44612A0" wp14:editId="5F454802">
                <wp:simplePos x="0" y="0"/>
                <wp:positionH relativeFrom="margin">
                  <wp:posOffset>114300</wp:posOffset>
                </wp:positionH>
                <wp:positionV relativeFrom="margin">
                  <wp:posOffset>1233805</wp:posOffset>
                </wp:positionV>
                <wp:extent cx="6021705" cy="1003300"/>
                <wp:effectExtent l="0" t="127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705" cy="1003300"/>
                        </a:xfrm>
                        <a:prstGeom prst="rect">
                          <a:avLst/>
                        </a:prstGeom>
                        <a:solidFill>
                          <a:srgbClr val="FFFFFF"/>
                        </a:solidFill>
                        <a:ln>
                          <a:noFill/>
                        </a:ln>
                      </wps:spPr>
                      <wps:txbx>
                        <w:txbxContent>
                          <w:p w14:paraId="46F38263" w14:textId="77777777" w:rsidR="009D6B7A" w:rsidRDefault="00FF1B05">
                            <w:pPr>
                              <w:pStyle w:val="10"/>
                              <w:spacing w:line="240" w:lineRule="atLeast"/>
                              <w:rPr>
                                <w:lang w:val="fr-FR"/>
                              </w:rPr>
                            </w:pPr>
                            <w:r>
                              <w:rPr>
                                <w:lang w:val="fr-FR"/>
                              </w:rPr>
                              <w:t xml:space="preserve">GB/T </w:t>
                            </w:r>
                            <w:r>
                              <w:rPr>
                                <w:rFonts w:hint="eastAsia"/>
                                <w:lang w:val="fr-FR"/>
                              </w:rPr>
                              <w:t>13529-</w:t>
                            </w:r>
                            <w:r>
                              <w:rPr>
                                <w:lang w:val="fr-FR"/>
                              </w:rPr>
                              <w:t>202×</w:t>
                            </w:r>
                          </w:p>
                          <w:p w14:paraId="06DDDA39" w14:textId="77777777" w:rsidR="009D6B7A" w:rsidRDefault="00FF1B05">
                            <w:pPr>
                              <w:pStyle w:val="10"/>
                              <w:spacing w:line="240" w:lineRule="atLeast"/>
                              <w:rPr>
                                <w:sz w:val="24"/>
                                <w:szCs w:val="18"/>
                                <w:lang w:val="fr-FR"/>
                              </w:rPr>
                            </w:pPr>
                            <w:r>
                              <w:rPr>
                                <w:rFonts w:hint="eastAsia"/>
                                <w:sz w:val="24"/>
                                <w:szCs w:val="18"/>
                              </w:rPr>
                              <w:t>代替</w:t>
                            </w:r>
                            <w:r>
                              <w:rPr>
                                <w:sz w:val="24"/>
                                <w:szCs w:val="18"/>
                                <w:lang w:val="fr-FR"/>
                              </w:rPr>
                              <w:t xml:space="preserve">GB/T </w:t>
                            </w:r>
                            <w:r>
                              <w:rPr>
                                <w:rFonts w:hint="eastAsia"/>
                                <w:sz w:val="24"/>
                                <w:szCs w:val="18"/>
                                <w:lang w:val="fr-FR"/>
                              </w:rPr>
                              <w:t>13529-20</w:t>
                            </w:r>
                            <w:r>
                              <w:rPr>
                                <w:rFonts w:hint="eastAsia"/>
                                <w:sz w:val="24"/>
                                <w:szCs w:val="18"/>
                              </w:rPr>
                              <w:t>11</w:t>
                            </w:r>
                          </w:p>
                          <w:p w14:paraId="08097069" w14:textId="77777777" w:rsidR="009D6B7A" w:rsidRDefault="009D6B7A">
                            <w:pPr>
                              <w:pStyle w:val="10"/>
                              <w:rPr>
                                <w:lang w:val="fr-FR"/>
                              </w:rPr>
                            </w:pPr>
                          </w:p>
                        </w:txbxContent>
                      </wps:txbx>
                      <wps:bodyPr rot="0" vert="horz" wrap="square" lIns="0" tIns="0" rIns="0" bIns="0" anchor="t" anchorCtr="0" upright="1">
                        <a:noAutofit/>
                      </wps:bodyPr>
                    </wps:wsp>
                  </a:graphicData>
                </a:graphic>
              </wp:anchor>
            </w:drawing>
          </mc:Choice>
          <mc:Fallback>
            <w:pict>
              <v:shape w14:anchorId="144612A0" id="fmFrame3" o:spid="_x0000_s1031" type="#_x0000_t202" style="position:absolute;left:0;text-align:left;margin-left:9pt;margin-top:97.15pt;width:474.15pt;height:79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" stroked="f">
                <v:textbox inset="0,0,0,0">
                  <w:txbxContent>
                    <w:p w14:paraId="46F38263" w14:textId="77777777" w:rsidR="009D6B7A" w:rsidRDefault="00FF1B05">
                      <w:pPr>
                        <w:pStyle w:val="10"/>
                        <w:spacing w:line="240" w:lineRule="atLeast"/>
                        <w:rPr>
                          <w:lang w:val="fr-FR"/>
                        </w:rPr>
                      </w:pPr>
                      <w:r>
                        <w:rPr>
                          <w:lang w:val="fr-FR"/>
                        </w:rPr>
                        <w:t xml:space="preserve">GB/T </w:t>
                      </w:r>
                      <w:r>
                        <w:rPr>
                          <w:rFonts w:hint="eastAsia"/>
                          <w:lang w:val="fr-FR"/>
                        </w:rPr>
                        <w:t>13529-</w:t>
                      </w:r>
                      <w:r>
                        <w:rPr>
                          <w:lang w:val="fr-FR"/>
                        </w:rPr>
                        <w:t>202×</w:t>
                      </w:r>
                    </w:p>
                    <w:p w14:paraId="06DDDA39" w14:textId="77777777" w:rsidR="009D6B7A" w:rsidRDefault="00FF1B05">
                      <w:pPr>
                        <w:pStyle w:val="10"/>
                        <w:spacing w:line="240" w:lineRule="atLeast"/>
                        <w:rPr>
                          <w:sz w:val="24"/>
                          <w:szCs w:val="18"/>
                          <w:lang w:val="fr-FR"/>
                        </w:rPr>
                      </w:pPr>
                      <w:r>
                        <w:rPr>
                          <w:rFonts w:hint="eastAsia"/>
                          <w:sz w:val="24"/>
                          <w:szCs w:val="18"/>
                        </w:rPr>
                        <w:t>代替</w:t>
                      </w:r>
                      <w:r>
                        <w:rPr>
                          <w:sz w:val="24"/>
                          <w:szCs w:val="18"/>
                          <w:lang w:val="fr-FR"/>
                        </w:rPr>
                        <w:t xml:space="preserve">GB/T </w:t>
                      </w:r>
                      <w:r>
                        <w:rPr>
                          <w:rFonts w:hint="eastAsia"/>
                          <w:sz w:val="24"/>
                          <w:szCs w:val="18"/>
                          <w:lang w:val="fr-FR"/>
                        </w:rPr>
                        <w:t>13529-20</w:t>
                      </w:r>
                      <w:r>
                        <w:rPr>
                          <w:rFonts w:hint="eastAsia"/>
                          <w:sz w:val="24"/>
                          <w:szCs w:val="18"/>
                        </w:rPr>
                        <w:t>11</w:t>
                      </w:r>
                    </w:p>
                    <w:p w14:paraId="08097069" w14:textId="77777777" w:rsidR="009D6B7A" w:rsidRDefault="009D6B7A">
                      <w:pPr>
                        <w:pStyle w:val="10"/>
                        <w:rPr>
                          <w:lang w:val="fr-FR"/>
                        </w:rPr>
                      </w:pPr>
                    </w:p>
                  </w:txbxContent>
                </v:textbox>
                <w10:wrap anchorx="margin" anchory="margin"/>
                <w10:anchorlock/>
              </v:shape>
            </w:pict>
          </mc:Fallback>
        </mc:AlternateContent>
      </w:r>
      <w:r>
        <w:rPr>
          <w:noProof/>
        </w:rPr>
        <w:drawing>
          <wp:anchor distT="0" distB="0" distL="114300" distR="114300" simplePos="0" relativeHeight="251654144" behindDoc="0" locked="1" layoutInCell="1" allowOverlap="1" wp14:anchorId="7FE8644B" wp14:editId="115C7CD9">
            <wp:simplePos x="0" y="0"/>
            <wp:positionH relativeFrom="margin">
              <wp:posOffset>4343400</wp:posOffset>
            </wp:positionH>
            <wp:positionV relativeFrom="margin">
              <wp:posOffset>-153035</wp:posOffset>
            </wp:positionV>
            <wp:extent cx="1403350" cy="720090"/>
            <wp:effectExtent l="0" t="0" r="0" b="0"/>
            <wp:wrapNone/>
            <wp:docPr id="5" name="HBPicture"/>
            <wp:cNvGraphicFramePr/>
            <a:graphic xmlns:a="http://schemas.openxmlformats.org/drawingml/2006/main">
              <a:graphicData uri="http://schemas.openxmlformats.org/drawingml/2006/picture">
                <pic:pic xmlns:pic="http://schemas.openxmlformats.org/drawingml/2006/picture">
                  <pic:nvPicPr>
                    <pic:cNvPr id="5"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53120" behindDoc="0" locked="1" layoutInCell="1" allowOverlap="1" wp14:anchorId="242E3E04" wp14:editId="1D0DE73D">
                <wp:simplePos x="0" y="0"/>
                <wp:positionH relativeFrom="margin">
                  <wp:posOffset>0</wp:posOffset>
                </wp:positionH>
                <wp:positionV relativeFrom="margin">
                  <wp:posOffset>837565</wp:posOffset>
                </wp:positionV>
                <wp:extent cx="6120130" cy="391160"/>
                <wp:effectExtent l="0" t="0" r="0" b="381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05F49274" w14:textId="77777777" w:rsidR="009D6B7A" w:rsidRDefault="00FF1B05">
                            <w:pPr>
                              <w:pStyle w:val="aff7"/>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242E3E04" id="fmFrame2" o:spid="_x0000_s1032" type="#_x0000_t202" style="position:absolute;left:0;text-align:left;margin-left:0;margin-top:65.95pt;width:481.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" stroked="f">
                <v:textbox inset="0,0,0,0">
                  <w:txbxContent>
                    <w:p w14:paraId="05F49274" w14:textId="77777777" w:rsidR="009D6B7A" w:rsidRDefault="00FF1B05">
                      <w:pPr>
                        <w:pStyle w:val="aff7"/>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14:anchorId="396CC316" wp14:editId="1C84F81D">
                <wp:simplePos x="0" y="0"/>
                <wp:positionH relativeFrom="margin">
                  <wp:posOffset>0</wp:posOffset>
                </wp:positionH>
                <wp:positionV relativeFrom="margin">
                  <wp:posOffset>-153035</wp:posOffset>
                </wp:positionV>
                <wp:extent cx="2540000" cy="657860"/>
                <wp:effectExtent l="0" t="0" r="0" b="381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56E542E" w14:textId="77777777" w:rsidR="009D6B7A" w:rsidRDefault="00FF1B05">
                            <w:pPr>
                              <w:pStyle w:val="af8"/>
                            </w:pPr>
                            <w:r>
                              <w:t>ICS 71.100.40</w:t>
                            </w:r>
                          </w:p>
                          <w:p w14:paraId="44A01D3C" w14:textId="5568F579" w:rsidR="009D6B7A" w:rsidRDefault="009D4850">
                            <w:pPr>
                              <w:pStyle w:val="af8"/>
                            </w:pPr>
                            <w:r>
                              <w:t xml:space="preserve">CCS </w:t>
                            </w:r>
                            <w:r w:rsidR="00FF1B05">
                              <w:t>G73</w:t>
                            </w:r>
                          </w:p>
                        </w:txbxContent>
                      </wps:txbx>
                      <wps:bodyPr rot="0" vert="horz" wrap="square" lIns="0" tIns="0" rIns="0" bIns="0" anchor="t" anchorCtr="0" upright="1">
                        <a:noAutofit/>
                      </wps:bodyPr>
                    </wps:wsp>
                  </a:graphicData>
                </a:graphic>
              </wp:anchor>
            </w:drawing>
          </mc:Choice>
          <mc:Fallback>
            <w:pict>
              <v:shape w14:anchorId="396CC316" id="fmFrame1" o:spid="_x0000_s1033" type="#_x0000_t202" style="position:absolute;left:0;text-align:left;margin-left:0;margin-top:-12.05pt;width:200pt;height:51.8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" stroked="f">
                <v:textbox inset="0,0,0,0">
                  <w:txbxContent>
                    <w:p w14:paraId="156E542E" w14:textId="77777777" w:rsidR="009D6B7A" w:rsidRDefault="00FF1B05">
                      <w:pPr>
                        <w:pStyle w:val="af8"/>
                      </w:pPr>
                      <w:r>
                        <w:t>ICS 71.100.40</w:t>
                      </w:r>
                    </w:p>
                    <w:p w14:paraId="44A01D3C" w14:textId="5568F579" w:rsidR="009D6B7A" w:rsidRDefault="009D4850">
                      <w:pPr>
                        <w:pStyle w:val="af8"/>
                      </w:pPr>
                      <w:r>
                        <w:t xml:space="preserve">CCS </w:t>
                      </w:r>
                      <w:r w:rsidR="00FF1B05">
                        <w:t>G73</w:t>
                      </w:r>
                    </w:p>
                  </w:txbxContent>
                </v:textbox>
                <w10:wrap anchorx="margin" anchory="margin"/>
                <w10:anchorlock/>
              </v:shape>
            </w:pict>
          </mc:Fallback>
        </mc:AlternateContent>
      </w:r>
    </w:p>
    <w:p w14:paraId="69049812" w14:textId="77777777" w:rsidR="009D6B7A" w:rsidRDefault="00FF1B05">
      <w:pPr>
        <w:pStyle w:val="a"/>
        <w:numPr>
          <w:ilvl w:val="0"/>
          <w:numId w:val="0"/>
        </w:numPr>
      </w:pPr>
      <w:r>
        <w:rPr>
          <w:rFonts w:hint="eastAsia"/>
        </w:rPr>
        <w:lastRenderedPageBreak/>
        <w:t>前    言</w:t>
      </w:r>
    </w:p>
    <w:p w14:paraId="704ACF77" w14:textId="77777777" w:rsidR="009D6B7A" w:rsidRDefault="00FF1B05">
      <w:pPr>
        <w:spacing w:line="276" w:lineRule="auto"/>
        <w:ind w:firstLineChars="200" w:firstLine="420"/>
      </w:pPr>
      <w:r>
        <w:rPr>
          <w:rFonts w:hint="eastAsia"/>
        </w:rPr>
        <w:t>本文件按照</w:t>
      </w:r>
      <w:r>
        <w:rPr>
          <w:rFonts w:hint="eastAsia"/>
        </w:rPr>
        <w:t>GB/T1.1-2020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0105FBC6" w14:textId="77777777" w:rsidR="009D6B7A" w:rsidRDefault="00FF1B05">
      <w:pPr>
        <w:spacing w:line="276" w:lineRule="auto"/>
        <w:ind w:firstLineChars="200" w:firstLine="420"/>
      </w:pPr>
      <w:r>
        <w:rPr>
          <w:rFonts w:hint="eastAsia"/>
        </w:rPr>
        <w:t>本文件代替</w:t>
      </w:r>
      <w:r>
        <w:t>GB/T 13529-</w:t>
      </w:r>
      <w:r>
        <w:rPr>
          <w:rFonts w:hint="eastAsia"/>
        </w:rPr>
        <w:t>2011</w:t>
      </w:r>
      <w:r>
        <w:rPr>
          <w:rFonts w:hint="eastAsia"/>
        </w:rPr>
        <w:t>《</w:t>
      </w:r>
      <w:bookmarkStart w:id="0" w:name="OLE_LINK3"/>
      <w:bookmarkStart w:id="1" w:name="OLE_LINK4"/>
      <w:r>
        <w:rPr>
          <w:rFonts w:hint="eastAsia"/>
        </w:rPr>
        <w:t>乙氧基化烷基硫酸钠</w:t>
      </w:r>
      <w:bookmarkEnd w:id="0"/>
      <w:bookmarkEnd w:id="1"/>
      <w:r>
        <w:rPr>
          <w:rFonts w:hint="eastAsia"/>
        </w:rPr>
        <w:t>》。</w:t>
      </w:r>
    </w:p>
    <w:p w14:paraId="5D989200" w14:textId="77777777" w:rsidR="009D6B7A" w:rsidRDefault="00FF1B05">
      <w:pPr>
        <w:spacing w:line="276" w:lineRule="auto"/>
        <w:ind w:firstLineChars="200" w:firstLine="420"/>
      </w:pPr>
      <w:r>
        <w:rPr>
          <w:rFonts w:hint="eastAsia"/>
        </w:rPr>
        <w:t>本文件与</w:t>
      </w:r>
      <w:r>
        <w:t>GB/T 13529-</w:t>
      </w:r>
      <w:r>
        <w:rPr>
          <w:rFonts w:hint="eastAsia"/>
        </w:rPr>
        <w:t>2011</w:t>
      </w:r>
      <w:r>
        <w:rPr>
          <w:rFonts w:hint="eastAsia"/>
        </w:rPr>
        <w:t>相比主要变化如下：</w:t>
      </w:r>
    </w:p>
    <w:p w14:paraId="4125F73F" w14:textId="77777777" w:rsidR="009D6B7A" w:rsidRDefault="00FF1B05">
      <w:pPr>
        <w:spacing w:line="276" w:lineRule="auto"/>
        <w:ind w:firstLineChars="200" w:firstLine="420"/>
      </w:pPr>
      <w:r>
        <w:rPr>
          <w:rFonts w:hint="eastAsia"/>
        </w:rPr>
        <w:t>——修改了乙氧基化烷基硫酸钠含量要求，项目名称由“乙氧基化烷基硫酸钠含量”变更为“阴离子活性物含量”，指标要求增加一位有效数字（见表</w:t>
      </w:r>
      <w:r>
        <w:rPr>
          <w:rFonts w:hint="eastAsia"/>
        </w:rPr>
        <w:t>1</w:t>
      </w:r>
      <w:r>
        <w:rPr>
          <w:rFonts w:hint="eastAsia"/>
        </w:rPr>
        <w:t>，</w:t>
      </w:r>
      <w:r>
        <w:rPr>
          <w:rFonts w:hint="eastAsia"/>
        </w:rPr>
        <w:t>2</w:t>
      </w:r>
      <w:r>
        <w:t>011</w:t>
      </w:r>
      <w:r>
        <w:rPr>
          <w:rFonts w:hint="eastAsia"/>
        </w:rPr>
        <w:t>版的表</w:t>
      </w:r>
      <w:r>
        <w:rPr>
          <w:rFonts w:hint="eastAsia"/>
        </w:rPr>
        <w:t>1</w:t>
      </w:r>
      <w:r>
        <w:rPr>
          <w:rFonts w:hint="eastAsia"/>
        </w:rPr>
        <w:t>）；</w:t>
      </w:r>
    </w:p>
    <w:p w14:paraId="688B0ABE" w14:textId="77777777" w:rsidR="009D6B7A" w:rsidRDefault="00FF1B05">
      <w:pPr>
        <w:spacing w:line="276" w:lineRule="auto"/>
        <w:ind w:firstLineChars="200" w:firstLine="420"/>
      </w:pPr>
      <w:r>
        <w:rPr>
          <w:rFonts w:hint="eastAsia"/>
        </w:rPr>
        <w:t>——修改了产品</w:t>
      </w:r>
      <w:r>
        <w:rPr>
          <w:rFonts w:hint="eastAsia"/>
        </w:rPr>
        <w:t>pH</w:t>
      </w:r>
      <w:r>
        <w:rPr>
          <w:rFonts w:hint="eastAsia"/>
        </w:rPr>
        <w:t>值要求（见表</w:t>
      </w:r>
      <w:r>
        <w:rPr>
          <w:rFonts w:hint="eastAsia"/>
        </w:rPr>
        <w:t>1</w:t>
      </w:r>
      <w:r>
        <w:rPr>
          <w:rFonts w:hint="eastAsia"/>
        </w:rPr>
        <w:t>，</w:t>
      </w:r>
      <w:r>
        <w:rPr>
          <w:rFonts w:hint="eastAsia"/>
        </w:rPr>
        <w:t>2011</w:t>
      </w:r>
      <w:r>
        <w:rPr>
          <w:rFonts w:hint="eastAsia"/>
        </w:rPr>
        <w:t>版的表</w:t>
      </w:r>
      <w:r>
        <w:rPr>
          <w:rFonts w:hint="eastAsia"/>
        </w:rPr>
        <w:t>1</w:t>
      </w:r>
      <w:r>
        <w:rPr>
          <w:rFonts w:hint="eastAsia"/>
        </w:rPr>
        <w:t>）；</w:t>
      </w:r>
    </w:p>
    <w:p w14:paraId="39281994" w14:textId="77777777" w:rsidR="009D6B7A" w:rsidRDefault="00FF1B05">
      <w:pPr>
        <w:spacing w:line="276" w:lineRule="auto"/>
        <w:ind w:firstLineChars="200" w:firstLine="420"/>
      </w:pPr>
      <w:r>
        <w:rPr>
          <w:rFonts w:hint="eastAsia"/>
        </w:rPr>
        <w:t>——增加了产品的贮存温度和罐装产品的保质期（见</w:t>
      </w:r>
      <w:r>
        <w:rPr>
          <w:rFonts w:hint="eastAsia"/>
        </w:rPr>
        <w:t>7</w:t>
      </w:r>
      <w:r>
        <w:t>.5</w:t>
      </w:r>
      <w:r>
        <w:rPr>
          <w:rFonts w:hint="eastAsia"/>
        </w:rPr>
        <w:t>，</w:t>
      </w:r>
      <w:r>
        <w:rPr>
          <w:rFonts w:hint="eastAsia"/>
        </w:rPr>
        <w:t>2011</w:t>
      </w:r>
      <w:r>
        <w:rPr>
          <w:rFonts w:hint="eastAsia"/>
        </w:rPr>
        <w:t>版的</w:t>
      </w:r>
      <w:r>
        <w:rPr>
          <w:rFonts w:hint="eastAsia"/>
        </w:rPr>
        <w:t>7</w:t>
      </w:r>
      <w:r>
        <w:t>.5</w:t>
      </w:r>
      <w:r>
        <w:rPr>
          <w:rFonts w:hint="eastAsia"/>
        </w:rPr>
        <w:t>）。</w:t>
      </w:r>
    </w:p>
    <w:p w14:paraId="526A1496" w14:textId="77777777" w:rsidR="009D6B7A" w:rsidRDefault="00FF1B05">
      <w:pPr>
        <w:spacing w:line="276" w:lineRule="auto"/>
        <w:ind w:firstLineChars="200" w:firstLine="420"/>
      </w:pPr>
      <w:r>
        <w:rPr>
          <w:rFonts w:hint="eastAsia"/>
        </w:rPr>
        <w:t>本文件由中国轻工业联合会提出。</w:t>
      </w:r>
    </w:p>
    <w:p w14:paraId="4AA4A5D1" w14:textId="77777777" w:rsidR="009D6B7A" w:rsidRDefault="00FF1B05">
      <w:pPr>
        <w:spacing w:line="276" w:lineRule="auto"/>
        <w:ind w:firstLineChars="200" w:firstLine="420"/>
      </w:pPr>
      <w:r>
        <w:rPr>
          <w:rFonts w:hint="eastAsia"/>
        </w:rPr>
        <w:t>本文件由全国表面活性剂和洗涤用品标准化技术委员会（</w:t>
      </w:r>
      <w:r>
        <w:rPr>
          <w:rFonts w:hint="eastAsia"/>
        </w:rPr>
        <w:t>SAC/TC272</w:t>
      </w:r>
      <w:r>
        <w:rPr>
          <w:rFonts w:hint="eastAsia"/>
        </w:rPr>
        <w:t>）归口。</w:t>
      </w:r>
    </w:p>
    <w:p w14:paraId="297A2F46" w14:textId="61F04CA7" w:rsidR="009D6B7A" w:rsidRDefault="00FF1B05">
      <w:pPr>
        <w:spacing w:line="276" w:lineRule="auto"/>
        <w:ind w:firstLineChars="200" w:firstLine="420"/>
      </w:pPr>
      <w:r>
        <w:rPr>
          <w:rFonts w:hint="eastAsia"/>
        </w:rPr>
        <w:t>本文件起草单位：</w:t>
      </w:r>
    </w:p>
    <w:p w14:paraId="4F745CEE" w14:textId="6F734527" w:rsidR="009D6B7A" w:rsidRDefault="00FF1B05">
      <w:pPr>
        <w:spacing w:line="276" w:lineRule="auto"/>
        <w:ind w:firstLineChars="200" w:firstLine="420"/>
      </w:pPr>
      <w:r>
        <w:rPr>
          <w:rFonts w:hint="eastAsia"/>
        </w:rPr>
        <w:t>本文件主要起草人：</w:t>
      </w:r>
    </w:p>
    <w:p w14:paraId="3E1E01C2" w14:textId="77777777" w:rsidR="009D6B7A" w:rsidRDefault="00FF1B05">
      <w:pPr>
        <w:spacing w:line="276" w:lineRule="auto"/>
        <w:ind w:firstLineChars="200" w:firstLine="420"/>
      </w:pPr>
      <w:r>
        <w:rPr>
          <w:rFonts w:hint="eastAsia"/>
        </w:rPr>
        <w:t>本文件所代替标准的历次版本发布情况为：</w:t>
      </w:r>
    </w:p>
    <w:p w14:paraId="20364D84" w14:textId="77777777" w:rsidR="009D6B7A" w:rsidRDefault="00FF1B05">
      <w:pPr>
        <w:spacing w:line="276" w:lineRule="auto"/>
        <w:ind w:firstLineChars="200" w:firstLine="420"/>
      </w:pPr>
      <w:r>
        <w:rPr>
          <w:rFonts w:hint="eastAsia"/>
        </w:rPr>
        <w:t>——</w:t>
      </w:r>
      <w:r>
        <w:rPr>
          <w:rFonts w:hint="eastAsia"/>
        </w:rPr>
        <w:t>GB/T 13529-1992</w:t>
      </w:r>
      <w:r>
        <w:rPr>
          <w:rFonts w:hint="eastAsia"/>
        </w:rPr>
        <w:t>、</w:t>
      </w:r>
      <w:r>
        <w:rPr>
          <w:rFonts w:hint="eastAsia"/>
        </w:rPr>
        <w:t>GB/T 13529-2003</w:t>
      </w:r>
      <w:r>
        <w:rPr>
          <w:rFonts w:hint="eastAsia"/>
        </w:rPr>
        <w:t>、</w:t>
      </w:r>
      <w:r>
        <w:rPr>
          <w:rFonts w:hint="eastAsia"/>
        </w:rPr>
        <w:t>GB/T 13529-2011</w:t>
      </w:r>
      <w:r>
        <w:rPr>
          <w:rFonts w:hint="eastAsia"/>
        </w:rPr>
        <w:t>。</w:t>
      </w:r>
    </w:p>
    <w:p w14:paraId="5E4872DB" w14:textId="77777777" w:rsidR="009D6B7A" w:rsidRDefault="009D6B7A">
      <w:pPr>
        <w:spacing w:line="360" w:lineRule="auto"/>
        <w:rPr>
          <w:bCs/>
        </w:rPr>
      </w:pPr>
    </w:p>
    <w:p w14:paraId="1C6B145A" w14:textId="77777777" w:rsidR="009D6B7A" w:rsidRDefault="009D6B7A">
      <w:pPr>
        <w:spacing w:line="360" w:lineRule="auto"/>
        <w:rPr>
          <w:bCs/>
        </w:rPr>
        <w:sectPr w:rsidR="009D6B7A">
          <w:headerReference w:type="even" r:id="rId15"/>
          <w:headerReference w:type="default" r:id="rId16"/>
          <w:footerReference w:type="even" r:id="rId17"/>
          <w:headerReference w:type="first" r:id="rId18"/>
          <w:footerReference w:type="first" r:id="rId19"/>
          <w:pgSz w:w="11906" w:h="16838"/>
          <w:pgMar w:top="1418" w:right="1418" w:bottom="1418" w:left="1418" w:header="851" w:footer="851" w:gutter="0"/>
          <w:pgNumType w:fmt="upperRoman" w:start="1"/>
          <w:cols w:space="720"/>
          <w:docGrid w:type="linesAndChars" w:linePitch="312"/>
        </w:sectPr>
      </w:pPr>
    </w:p>
    <w:p w14:paraId="52F87D89" w14:textId="77777777" w:rsidR="009D6B7A" w:rsidRDefault="00FF1B05">
      <w:pPr>
        <w:pStyle w:val="aff5"/>
      </w:pPr>
      <w:r>
        <w:rPr>
          <w:rFonts w:hint="eastAsia"/>
        </w:rPr>
        <w:lastRenderedPageBreak/>
        <w:t>乙氧基化烷基硫酸钠</w:t>
      </w:r>
    </w:p>
    <w:p w14:paraId="21F4DD7E" w14:textId="77777777" w:rsidR="009D6B7A" w:rsidRDefault="00FF1B05">
      <w:pPr>
        <w:pStyle w:val="af2"/>
        <w:numPr>
          <w:ilvl w:val="0"/>
          <w:numId w:val="2"/>
        </w:numPr>
        <w:spacing w:before="156" w:after="156"/>
        <w:rPr>
          <w:bCs/>
        </w:rPr>
      </w:pPr>
      <w:r>
        <w:rPr>
          <w:rFonts w:hint="eastAsia"/>
        </w:rPr>
        <w:t>范围</w:t>
      </w:r>
    </w:p>
    <w:p w14:paraId="49E1F3C1" w14:textId="77777777" w:rsidR="009D6B7A" w:rsidRDefault="00FF1B05">
      <w:pPr>
        <w:ind w:firstLine="357"/>
      </w:pPr>
      <w:r>
        <w:rPr>
          <w:rFonts w:hint="eastAsia"/>
        </w:rPr>
        <w:t>本文件规定了乙氧基化烷基硫酸钠（又称“脂肪醇聚氧乙烯醚硫酸钠”、“脂肪醇聚氧乙烯醚硫酸酯钠”，简称</w:t>
      </w:r>
      <w:r>
        <w:rPr>
          <w:rFonts w:hint="eastAsia"/>
        </w:rPr>
        <w:t>AES</w:t>
      </w:r>
      <w:r>
        <w:rPr>
          <w:rFonts w:hint="eastAsia"/>
        </w:rPr>
        <w:t>、</w:t>
      </w:r>
      <w:r>
        <w:rPr>
          <w:rFonts w:hint="eastAsia"/>
        </w:rPr>
        <w:t>SLES</w:t>
      </w:r>
      <w:r>
        <w:rPr>
          <w:rFonts w:hint="eastAsia"/>
        </w:rPr>
        <w:t>）的产品分类、要求、试验方法、检验规则和标志、包装、运输、贮存和保质期。</w:t>
      </w:r>
    </w:p>
    <w:p w14:paraId="7C5109CD" w14:textId="77777777" w:rsidR="009D6B7A" w:rsidRDefault="00FF1B05">
      <w:pPr>
        <w:ind w:firstLine="357"/>
      </w:pPr>
      <w:r>
        <w:rPr>
          <w:rFonts w:hint="eastAsia"/>
        </w:rPr>
        <w:t>本文件适用于各种工艺生产的乙氧基化烷基硫酸钠工业产品。</w:t>
      </w:r>
    </w:p>
    <w:p w14:paraId="4BF203BE" w14:textId="77777777" w:rsidR="009D6B7A" w:rsidRDefault="00FF1B05">
      <w:pPr>
        <w:pStyle w:val="af2"/>
        <w:numPr>
          <w:ilvl w:val="0"/>
          <w:numId w:val="2"/>
        </w:numPr>
        <w:spacing w:before="156" w:after="156"/>
        <w:rPr>
          <w:bCs/>
        </w:rPr>
      </w:pPr>
      <w:r>
        <w:rPr>
          <w:rFonts w:hint="eastAsia"/>
          <w:bCs/>
        </w:rPr>
        <w:t>规范性引用文件</w:t>
      </w:r>
    </w:p>
    <w:p w14:paraId="1E867D0C" w14:textId="77777777" w:rsidR="009D6B7A" w:rsidRDefault="00FF1B05">
      <w:pPr>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877F3DA" w14:textId="77777777" w:rsidR="009D6B7A" w:rsidRDefault="00FF1B05">
      <w:pPr>
        <w:ind w:firstLineChars="200" w:firstLine="420"/>
      </w:pPr>
      <w:r>
        <w:t>GB/T</w:t>
      </w:r>
      <w:r>
        <w:rPr>
          <w:rFonts w:hint="eastAsia"/>
        </w:rPr>
        <w:t xml:space="preserve"> 3143  </w:t>
      </w:r>
      <w:r>
        <w:rPr>
          <w:rFonts w:hint="eastAsia"/>
        </w:rPr>
        <w:t>液体化学品颜色测定法（</w:t>
      </w:r>
      <w:r>
        <w:rPr>
          <w:rFonts w:hint="eastAsia"/>
        </w:rPr>
        <w:t>Hazen</w:t>
      </w:r>
      <w:r>
        <w:rPr>
          <w:rFonts w:hint="eastAsia"/>
        </w:rPr>
        <w:t>单位</w:t>
      </w:r>
      <w:proofErr w:type="gramStart"/>
      <w:r>
        <w:t>—</w:t>
      </w:r>
      <w:r>
        <w:rPr>
          <w:rFonts w:hint="eastAsia"/>
        </w:rPr>
        <w:t>铂</w:t>
      </w:r>
      <w:r>
        <w:rPr>
          <w:rFonts w:hint="eastAsia"/>
        </w:rPr>
        <w:t>-</w:t>
      </w:r>
      <w:r>
        <w:rPr>
          <w:rFonts w:hint="eastAsia"/>
        </w:rPr>
        <w:t>钴色</w:t>
      </w:r>
      <w:proofErr w:type="gramEnd"/>
      <w:r>
        <w:rPr>
          <w:rFonts w:hint="eastAsia"/>
        </w:rPr>
        <w:t>号）</w:t>
      </w:r>
    </w:p>
    <w:p w14:paraId="1CD2B868" w14:textId="77777777" w:rsidR="009D6B7A" w:rsidRDefault="00FF1B05">
      <w:pPr>
        <w:ind w:firstLineChars="200" w:firstLine="420"/>
      </w:pPr>
      <w:r>
        <w:t xml:space="preserve">GB/T 5173 </w:t>
      </w:r>
      <w:r>
        <w:rPr>
          <w:rFonts w:hint="eastAsia"/>
        </w:rPr>
        <w:t xml:space="preserve"> </w:t>
      </w:r>
      <w:r>
        <w:rPr>
          <w:rFonts w:hint="eastAsia"/>
        </w:rPr>
        <w:t>表面活性剂和洗涤剂</w:t>
      </w:r>
      <w:r>
        <w:t xml:space="preserve">  </w:t>
      </w:r>
      <w:r>
        <w:rPr>
          <w:rFonts w:hint="eastAsia"/>
        </w:rPr>
        <w:t>阴离子活性物的测定</w:t>
      </w:r>
      <w:r>
        <w:t xml:space="preserve">  </w:t>
      </w:r>
      <w:r>
        <w:rPr>
          <w:rFonts w:hint="eastAsia"/>
        </w:rPr>
        <w:t>直接两相滴定法</w:t>
      </w:r>
    </w:p>
    <w:p w14:paraId="5AF928D3" w14:textId="77777777" w:rsidR="009D6B7A" w:rsidRDefault="00FF1B05">
      <w:pPr>
        <w:adjustRightInd w:val="0"/>
        <w:snapToGrid w:val="0"/>
        <w:ind w:firstLineChars="200" w:firstLine="420"/>
      </w:pPr>
      <w:r>
        <w:t xml:space="preserve">GB/T 6366 </w:t>
      </w:r>
      <w:r>
        <w:rPr>
          <w:rFonts w:hint="eastAsia"/>
        </w:rPr>
        <w:t xml:space="preserve"> </w:t>
      </w:r>
      <w:r>
        <w:rPr>
          <w:rFonts w:hint="eastAsia"/>
        </w:rPr>
        <w:t>表面活性剂</w:t>
      </w:r>
      <w:r>
        <w:t xml:space="preserve">  </w:t>
      </w:r>
      <w:r>
        <w:rPr>
          <w:rFonts w:hint="eastAsia"/>
        </w:rPr>
        <w:t>无机硫酸盐含量的测定</w:t>
      </w:r>
      <w:r>
        <w:t xml:space="preserve">  </w:t>
      </w:r>
      <w:r>
        <w:rPr>
          <w:rFonts w:hint="eastAsia"/>
        </w:rPr>
        <w:t>滴定法</w:t>
      </w:r>
    </w:p>
    <w:p w14:paraId="23A00597" w14:textId="77777777" w:rsidR="009D6B7A" w:rsidRDefault="00FF1B05">
      <w:pPr>
        <w:ind w:firstLineChars="200" w:firstLine="420"/>
      </w:pPr>
      <w:r>
        <w:t xml:space="preserve">GB/T 6368 </w:t>
      </w:r>
      <w:r>
        <w:rPr>
          <w:rFonts w:hint="eastAsia"/>
        </w:rPr>
        <w:t xml:space="preserve"> </w:t>
      </w:r>
      <w:r>
        <w:rPr>
          <w:rFonts w:hint="eastAsia"/>
        </w:rPr>
        <w:t>表面活性剂</w:t>
      </w:r>
      <w:r>
        <w:t xml:space="preserve">  </w:t>
      </w:r>
      <w:r>
        <w:rPr>
          <w:rFonts w:hint="eastAsia"/>
        </w:rPr>
        <w:t>水溶液</w:t>
      </w:r>
      <w:r>
        <w:t>pH</w:t>
      </w:r>
      <w:r>
        <w:rPr>
          <w:rFonts w:hint="eastAsia"/>
        </w:rPr>
        <w:t>值的测定</w:t>
      </w:r>
      <w:r>
        <w:t xml:space="preserve">  </w:t>
      </w:r>
      <w:r>
        <w:rPr>
          <w:rFonts w:hint="eastAsia"/>
        </w:rPr>
        <w:t>电位法</w:t>
      </w:r>
    </w:p>
    <w:p w14:paraId="4D032AA7" w14:textId="77777777" w:rsidR="009D6B7A" w:rsidRDefault="00FF1B05">
      <w:pPr>
        <w:ind w:firstLineChars="200" w:firstLine="420"/>
      </w:pPr>
      <w:r>
        <w:rPr>
          <w:rFonts w:hint="eastAsia"/>
        </w:rPr>
        <w:t xml:space="preserve">GB/T 8170  </w:t>
      </w:r>
      <w:r>
        <w:rPr>
          <w:rFonts w:hint="eastAsia"/>
        </w:rPr>
        <w:t>数据</w:t>
      </w:r>
      <w:proofErr w:type="gramStart"/>
      <w:r>
        <w:rPr>
          <w:rFonts w:hint="eastAsia"/>
        </w:rPr>
        <w:t>修约规则</w:t>
      </w:r>
      <w:proofErr w:type="gramEnd"/>
      <w:r>
        <w:rPr>
          <w:rFonts w:hint="eastAsia"/>
        </w:rPr>
        <w:t>与极限数值的标示和判定</w:t>
      </w:r>
    </w:p>
    <w:p w14:paraId="0D88165F" w14:textId="77777777" w:rsidR="009D6B7A" w:rsidRDefault="00FF1B05">
      <w:pPr>
        <w:ind w:firstLineChars="200" w:firstLine="420"/>
      </w:pPr>
      <w:r>
        <w:t>GB</w:t>
      </w:r>
      <w:r>
        <w:rPr>
          <w:rFonts w:hint="eastAsia"/>
        </w:rPr>
        <w:t>/</w:t>
      </w:r>
      <w:r>
        <w:t xml:space="preserve">T 13530 </w:t>
      </w:r>
      <w:r>
        <w:rPr>
          <w:rFonts w:hint="eastAsia"/>
        </w:rPr>
        <w:t xml:space="preserve"> </w:t>
      </w:r>
      <w:r>
        <w:rPr>
          <w:rFonts w:hint="eastAsia"/>
        </w:rPr>
        <w:t>乙氧基化烷基硫酸钠试验方法</w:t>
      </w:r>
    </w:p>
    <w:p w14:paraId="38CEFBDA" w14:textId="77777777" w:rsidR="009D6B7A" w:rsidRDefault="00FF1B05">
      <w:pPr>
        <w:ind w:firstLineChars="200" w:firstLine="420"/>
      </w:pPr>
      <w:r>
        <w:t xml:space="preserve">GB/T 17829-1999 </w:t>
      </w:r>
      <w:r>
        <w:rPr>
          <w:rFonts w:hint="eastAsia"/>
        </w:rPr>
        <w:t xml:space="preserve"> </w:t>
      </w:r>
      <w:r>
        <w:rPr>
          <w:rFonts w:hint="eastAsia"/>
        </w:rPr>
        <w:t>聚乙氧基化脂肪</w:t>
      </w:r>
      <w:proofErr w:type="gramStart"/>
      <w:r>
        <w:rPr>
          <w:rFonts w:hint="eastAsia"/>
        </w:rPr>
        <w:t>醇</w:t>
      </w:r>
      <w:proofErr w:type="gramEnd"/>
    </w:p>
    <w:p w14:paraId="77A09CA7" w14:textId="77777777" w:rsidR="009D6B7A" w:rsidRDefault="00FF1B05">
      <w:pPr>
        <w:ind w:firstLineChars="200" w:firstLine="420"/>
      </w:pPr>
      <w:r>
        <w:rPr>
          <w:rFonts w:hint="eastAsia"/>
        </w:rPr>
        <w:t xml:space="preserve">GB/T 26388  </w:t>
      </w:r>
      <w:r>
        <w:rPr>
          <w:rFonts w:hint="eastAsia"/>
        </w:rPr>
        <w:t>表面活性剂中二噁烷残留量的测定</w:t>
      </w:r>
      <w:r>
        <w:rPr>
          <w:rFonts w:hint="eastAsia"/>
        </w:rPr>
        <w:t xml:space="preserve"> </w:t>
      </w:r>
      <w:r>
        <w:rPr>
          <w:rFonts w:hint="eastAsia"/>
        </w:rPr>
        <w:t>气相色谱法</w:t>
      </w:r>
    </w:p>
    <w:p w14:paraId="67A6B74A" w14:textId="77777777" w:rsidR="009D6B7A" w:rsidRDefault="00FF1B05">
      <w:pPr>
        <w:pStyle w:val="af2"/>
        <w:numPr>
          <w:ilvl w:val="0"/>
          <w:numId w:val="2"/>
        </w:numPr>
        <w:spacing w:before="156" w:after="156"/>
        <w:rPr>
          <w:rFonts w:ascii="Times New Roman"/>
        </w:rPr>
      </w:pPr>
      <w:bookmarkStart w:id="2" w:name="_Toc155316797"/>
      <w:r>
        <w:rPr>
          <w:rFonts w:hint="eastAsia"/>
        </w:rPr>
        <w:t>术语和定义</w:t>
      </w:r>
      <w:bookmarkEnd w:id="2"/>
    </w:p>
    <w:p w14:paraId="01D27F35" w14:textId="77777777" w:rsidR="009D6B7A" w:rsidRDefault="00FF1B05">
      <w:pPr>
        <w:ind w:firstLineChars="200" w:firstLine="420"/>
      </w:pPr>
      <w:r>
        <w:rPr>
          <w:rFonts w:hint="eastAsia"/>
        </w:rPr>
        <w:t>本文件没有需要界定的术语和定义。</w:t>
      </w:r>
    </w:p>
    <w:p w14:paraId="0366C842" w14:textId="77777777" w:rsidR="009D6B7A" w:rsidRDefault="00FF1B05">
      <w:pPr>
        <w:pStyle w:val="af2"/>
        <w:numPr>
          <w:ilvl w:val="0"/>
          <w:numId w:val="2"/>
        </w:numPr>
        <w:spacing w:before="156" w:after="156"/>
        <w:rPr>
          <w:bCs/>
        </w:rPr>
      </w:pPr>
      <w:r>
        <w:rPr>
          <w:rFonts w:hint="eastAsia"/>
          <w:bCs/>
        </w:rPr>
        <w:t>产品分类</w:t>
      </w:r>
    </w:p>
    <w:p w14:paraId="191D41B5" w14:textId="77777777" w:rsidR="009D6B7A" w:rsidRDefault="00FF1B05">
      <w:pPr>
        <w:spacing w:beforeLines="50" w:before="156" w:afterLines="50" w:after="156"/>
        <w:rPr>
          <w:rFonts w:ascii="黑体"/>
          <w:bCs/>
        </w:rPr>
      </w:pPr>
      <w:r>
        <w:rPr>
          <w:rFonts w:ascii="黑体"/>
          <w:bCs/>
        </w:rPr>
        <w:t xml:space="preserve">4.1 </w:t>
      </w:r>
      <w:r>
        <w:rPr>
          <w:rFonts w:ascii="黑体"/>
          <w:bCs/>
          <w:color w:val="000000"/>
        </w:rPr>
        <w:t xml:space="preserve"> </w:t>
      </w:r>
      <w:r>
        <w:rPr>
          <w:rFonts w:ascii="黑体" w:hint="eastAsia"/>
          <w:bCs/>
          <w:color w:val="000000"/>
        </w:rPr>
        <w:t>结构式</w:t>
      </w:r>
    </w:p>
    <w:p w14:paraId="126E69EE" w14:textId="77777777" w:rsidR="009D6B7A" w:rsidRDefault="00FF1B05">
      <w:pPr>
        <w:ind w:firstLineChars="200" w:firstLine="420"/>
      </w:pPr>
      <w:r>
        <w:t>RO(</w:t>
      </w:r>
      <w:proofErr w:type="gramStart"/>
      <w:r>
        <w:t>CH</w:t>
      </w:r>
      <w:r>
        <w:rPr>
          <w:rFonts w:hint="eastAsia"/>
          <w:position w:val="-4"/>
          <w:sz w:val="13"/>
        </w:rPr>
        <w:t>2</w:t>
      </w:r>
      <w:r>
        <w:t>CH</w:t>
      </w:r>
      <w:r>
        <w:rPr>
          <w:rFonts w:hint="eastAsia"/>
          <w:position w:val="-4"/>
          <w:sz w:val="13"/>
        </w:rPr>
        <w:t>2</w:t>
      </w:r>
      <w:proofErr w:type="gramEnd"/>
      <w:r>
        <w:t>O)</w:t>
      </w:r>
      <w:r>
        <w:rPr>
          <w:position w:val="-4"/>
          <w:sz w:val="13"/>
        </w:rPr>
        <w:t>n</w:t>
      </w:r>
      <w:r>
        <w:t>SO</w:t>
      </w:r>
      <w:r>
        <w:rPr>
          <w:position w:val="-4"/>
          <w:sz w:val="13"/>
        </w:rPr>
        <w:t>3</w:t>
      </w:r>
      <w:r>
        <w:t xml:space="preserve">Na </w:t>
      </w:r>
      <w:r>
        <w:rPr>
          <w:rFonts w:hint="eastAsia"/>
        </w:rPr>
        <w:t>（</w:t>
      </w:r>
      <w:r>
        <w:t>R</w:t>
      </w:r>
      <w:r>
        <w:rPr>
          <w:rFonts w:hint="eastAsia"/>
        </w:rPr>
        <w:t>主组分为</w:t>
      </w:r>
      <w:r>
        <w:t>C</w:t>
      </w:r>
      <w:r>
        <w:rPr>
          <w:position w:val="-4"/>
          <w:sz w:val="15"/>
        </w:rPr>
        <w:t>12</w:t>
      </w:r>
      <w:r>
        <w:rPr>
          <w:rFonts w:hint="eastAsia"/>
        </w:rPr>
        <w:t>～</w:t>
      </w:r>
      <w:r>
        <w:t>C</w:t>
      </w:r>
      <w:r>
        <w:rPr>
          <w:position w:val="-4"/>
          <w:sz w:val="15"/>
        </w:rPr>
        <w:t>15</w:t>
      </w:r>
      <w:r>
        <w:rPr>
          <w:rFonts w:hint="eastAsia"/>
        </w:rPr>
        <w:t>烷基；</w:t>
      </w:r>
      <w:r>
        <w:t>n=</w:t>
      </w:r>
      <w:r>
        <w:rPr>
          <w:rFonts w:hint="eastAsia"/>
        </w:rPr>
        <w:t>1</w:t>
      </w:r>
      <w:r>
        <w:rPr>
          <w:rFonts w:hint="eastAsia"/>
        </w:rPr>
        <w:t>～</w:t>
      </w:r>
      <w:r>
        <w:t>3</w:t>
      </w:r>
      <w:r>
        <w:rPr>
          <w:rFonts w:hint="eastAsia"/>
        </w:rPr>
        <w:t>）</w:t>
      </w:r>
    </w:p>
    <w:p w14:paraId="30E287FF" w14:textId="77777777" w:rsidR="009D6B7A" w:rsidRDefault="00FF1B05">
      <w:pPr>
        <w:spacing w:beforeLines="50" w:before="156" w:afterLines="50" w:after="156"/>
        <w:rPr>
          <w:rFonts w:ascii="黑体"/>
          <w:bCs/>
        </w:rPr>
      </w:pPr>
      <w:r>
        <w:rPr>
          <w:rFonts w:ascii="黑体"/>
          <w:bCs/>
        </w:rPr>
        <w:t xml:space="preserve">4.2 </w:t>
      </w:r>
      <w:r>
        <w:rPr>
          <w:rFonts w:ascii="黑体" w:hint="eastAsia"/>
          <w:bCs/>
        </w:rPr>
        <w:t>分类</w:t>
      </w:r>
    </w:p>
    <w:p w14:paraId="7D880A20" w14:textId="77777777" w:rsidR="009D6B7A" w:rsidRDefault="00FF1B05">
      <w:pPr>
        <w:ind w:firstLine="420"/>
        <w:rPr>
          <w:rFonts w:ascii="宋体" w:hAnsi="宋体"/>
        </w:rPr>
      </w:pPr>
      <w:r>
        <w:rPr>
          <w:rFonts w:ascii="宋体" w:hAnsi="宋体" w:hint="eastAsia"/>
        </w:rPr>
        <w:t>高浓度产品：膏状。</w:t>
      </w:r>
    </w:p>
    <w:p w14:paraId="66F976EE" w14:textId="77777777" w:rsidR="009D6B7A" w:rsidRDefault="00FF1B05">
      <w:pPr>
        <w:ind w:firstLine="420"/>
      </w:pPr>
      <w:r>
        <w:rPr>
          <w:rFonts w:ascii="宋体" w:hAnsi="宋体" w:hint="eastAsia"/>
        </w:rPr>
        <w:t>低浓度产品：液状。</w:t>
      </w:r>
    </w:p>
    <w:p w14:paraId="0B547017" w14:textId="77777777" w:rsidR="009D6B7A" w:rsidRDefault="00FF1B05">
      <w:pPr>
        <w:pStyle w:val="af2"/>
        <w:numPr>
          <w:ilvl w:val="0"/>
          <w:numId w:val="2"/>
        </w:numPr>
        <w:spacing w:before="156" w:after="156"/>
        <w:rPr>
          <w:bCs/>
        </w:rPr>
      </w:pPr>
      <w:r>
        <w:rPr>
          <w:rFonts w:hint="eastAsia"/>
          <w:bCs/>
        </w:rPr>
        <w:t>要求</w:t>
      </w:r>
    </w:p>
    <w:p w14:paraId="415CDDD9" w14:textId="77777777" w:rsidR="009D6B7A" w:rsidRDefault="00FF1B05">
      <w:pPr>
        <w:spacing w:beforeLines="50" w:before="156" w:afterLines="50" w:after="156"/>
        <w:rPr>
          <w:rFonts w:ascii="黑体" w:eastAsia="黑体"/>
          <w:bCs/>
        </w:rPr>
      </w:pPr>
      <w:r>
        <w:rPr>
          <w:rFonts w:ascii="黑体" w:eastAsia="黑体"/>
          <w:bCs/>
        </w:rPr>
        <w:t>5.1</w:t>
      </w:r>
      <w:r>
        <w:rPr>
          <w:rFonts w:ascii="黑体" w:eastAsia="黑体" w:hint="eastAsia"/>
          <w:bCs/>
        </w:rPr>
        <w:t xml:space="preserve"> 外观</w:t>
      </w:r>
    </w:p>
    <w:p w14:paraId="22B7B037" w14:textId="77777777" w:rsidR="009D6B7A" w:rsidRDefault="00FF1B05">
      <w:pPr>
        <w:ind w:firstLineChars="200" w:firstLine="420"/>
        <w:rPr>
          <w:rFonts w:ascii="宋体" w:hAnsi="宋体"/>
        </w:rPr>
      </w:pPr>
      <w:r>
        <w:rPr>
          <w:rFonts w:ascii="宋体" w:hAnsi="宋体" w:hint="eastAsia"/>
        </w:rPr>
        <w:t>膏状：</w:t>
      </w:r>
      <w:r>
        <w:rPr>
          <w:rFonts w:ascii="宋体" w:hAnsi="宋体"/>
        </w:rPr>
        <w:t>25</w:t>
      </w:r>
      <w:r>
        <w:rPr>
          <w:rFonts w:ascii="宋体" w:hAnsi="宋体" w:hint="eastAsia"/>
        </w:rPr>
        <w:t>℃时，白色或浅黄色凝胶状膏体。</w:t>
      </w:r>
    </w:p>
    <w:p w14:paraId="7BEFF469" w14:textId="77777777" w:rsidR="009D6B7A" w:rsidRDefault="00FF1B05">
      <w:pPr>
        <w:ind w:firstLineChars="200" w:firstLine="420"/>
        <w:rPr>
          <w:rFonts w:ascii="宋体" w:hAnsi="宋体"/>
        </w:rPr>
      </w:pPr>
      <w:r>
        <w:rPr>
          <w:rFonts w:ascii="宋体" w:hAnsi="宋体" w:hint="eastAsia"/>
        </w:rPr>
        <w:t>液状：</w:t>
      </w:r>
      <w:r>
        <w:rPr>
          <w:rFonts w:ascii="宋体" w:hAnsi="宋体"/>
        </w:rPr>
        <w:t>25</w:t>
      </w:r>
      <w:r>
        <w:rPr>
          <w:rFonts w:ascii="宋体" w:hAnsi="宋体" w:hint="eastAsia"/>
        </w:rPr>
        <w:t>℃时，无色或浅黄色液体。</w:t>
      </w:r>
    </w:p>
    <w:p w14:paraId="3F805675" w14:textId="77777777" w:rsidR="009D6B7A" w:rsidRDefault="00FF1B05">
      <w:pPr>
        <w:spacing w:beforeLines="50" w:before="156" w:afterLines="50" w:after="156"/>
        <w:rPr>
          <w:rFonts w:ascii="黑体" w:eastAsia="黑体"/>
          <w:bCs/>
        </w:rPr>
      </w:pPr>
      <w:r>
        <w:rPr>
          <w:rFonts w:ascii="黑体" w:eastAsia="黑体"/>
          <w:bCs/>
        </w:rPr>
        <w:t>5.2</w:t>
      </w:r>
      <w:r>
        <w:rPr>
          <w:rFonts w:ascii="黑体" w:eastAsia="黑体" w:hint="eastAsia"/>
          <w:bCs/>
        </w:rPr>
        <w:t xml:space="preserve"> 气味</w:t>
      </w:r>
    </w:p>
    <w:p w14:paraId="39819927" w14:textId="77777777" w:rsidR="009D6B7A" w:rsidRDefault="00FF1B05">
      <w:pPr>
        <w:ind w:firstLineChars="200" w:firstLine="420"/>
        <w:rPr>
          <w:rFonts w:ascii="宋体" w:hAnsi="宋体"/>
        </w:rPr>
      </w:pPr>
      <w:r>
        <w:rPr>
          <w:rFonts w:ascii="宋体" w:hAnsi="宋体" w:hint="eastAsia"/>
        </w:rPr>
        <w:t>无异常气味。</w:t>
      </w:r>
    </w:p>
    <w:p w14:paraId="3BDD2E0E" w14:textId="77777777" w:rsidR="009D6B7A" w:rsidRDefault="00FF1B05">
      <w:pPr>
        <w:spacing w:beforeLines="50" w:before="156" w:afterLines="50" w:after="156"/>
        <w:rPr>
          <w:rFonts w:ascii="黑体" w:eastAsia="黑体"/>
          <w:bCs/>
        </w:rPr>
      </w:pPr>
      <w:r>
        <w:rPr>
          <w:rFonts w:ascii="黑体" w:eastAsia="黑体"/>
          <w:bCs/>
        </w:rPr>
        <w:lastRenderedPageBreak/>
        <w:t>5.3</w:t>
      </w:r>
      <w:r>
        <w:rPr>
          <w:rFonts w:ascii="黑体" w:eastAsia="黑体" w:hint="eastAsia"/>
          <w:bCs/>
        </w:rPr>
        <w:t>理化指标</w:t>
      </w:r>
    </w:p>
    <w:p w14:paraId="2F3CB477" w14:textId="77777777" w:rsidR="009D6B7A" w:rsidRDefault="00FF1B05">
      <w:pPr>
        <w:ind w:firstLineChars="200" w:firstLine="420"/>
        <w:rPr>
          <w:rFonts w:ascii="宋体" w:hAnsi="宋体"/>
        </w:rPr>
      </w:pPr>
      <w:r>
        <w:rPr>
          <w:rFonts w:ascii="宋体" w:hAnsi="宋体" w:hint="eastAsia"/>
        </w:rPr>
        <w:t>乙氧基化烷基硫酸钠产品的理化指标应符合表</w:t>
      </w:r>
      <w:r>
        <w:rPr>
          <w:rFonts w:ascii="宋体" w:hAnsi="宋体"/>
        </w:rPr>
        <w:t>1</w:t>
      </w:r>
      <w:r>
        <w:rPr>
          <w:rFonts w:ascii="宋体" w:hAnsi="宋体" w:hint="eastAsia"/>
        </w:rPr>
        <w:t>规定。</w:t>
      </w:r>
    </w:p>
    <w:p w14:paraId="46E409DA" w14:textId="77777777" w:rsidR="009D6B7A" w:rsidRDefault="00FF1B05">
      <w:pPr>
        <w:spacing w:beforeLines="50" w:before="156"/>
        <w:jc w:val="center"/>
      </w:pPr>
      <w:r>
        <w:rPr>
          <w:rFonts w:hint="eastAsia"/>
        </w:rPr>
        <w:t>表</w:t>
      </w:r>
      <w:r>
        <w:rPr>
          <w:rFonts w:hint="eastAsia"/>
        </w:rPr>
        <w:t xml:space="preserve">1 </w:t>
      </w:r>
      <w:r>
        <w:rPr>
          <w:rFonts w:hint="eastAsia"/>
        </w:rPr>
        <w:t>乙氧基化烷基硫酸钠理化指标</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14"/>
        <w:gridCol w:w="1641"/>
        <w:gridCol w:w="1417"/>
      </w:tblGrid>
      <w:tr w:rsidR="009D6B7A" w14:paraId="302CA415" w14:textId="77777777">
        <w:trPr>
          <w:cantSplit/>
          <w:jc w:val="center"/>
        </w:trPr>
        <w:tc>
          <w:tcPr>
            <w:tcW w:w="4308" w:type="dxa"/>
            <w:gridSpan w:val="2"/>
            <w:tcBorders>
              <w:bottom w:val="single" w:sz="4" w:space="0" w:color="auto"/>
            </w:tcBorders>
            <w:vAlign w:val="center"/>
          </w:tcPr>
          <w:p w14:paraId="355ADB1E" w14:textId="77777777" w:rsidR="009D6B7A" w:rsidRDefault="00FF1B05">
            <w:pPr>
              <w:jc w:val="center"/>
              <w:rPr>
                <w:sz w:val="18"/>
                <w:szCs w:val="18"/>
              </w:rPr>
            </w:pPr>
            <w:r>
              <w:rPr>
                <w:rFonts w:hint="eastAsia"/>
                <w:sz w:val="18"/>
                <w:szCs w:val="18"/>
              </w:rPr>
              <w:t>项</w:t>
            </w:r>
            <w:r>
              <w:rPr>
                <w:rFonts w:hint="eastAsia"/>
                <w:sz w:val="18"/>
                <w:szCs w:val="18"/>
              </w:rPr>
              <w:t xml:space="preserve">  </w:t>
            </w:r>
            <w:r>
              <w:rPr>
                <w:rFonts w:hint="eastAsia"/>
                <w:sz w:val="18"/>
                <w:szCs w:val="18"/>
              </w:rPr>
              <w:t>目</w:t>
            </w:r>
          </w:p>
        </w:tc>
        <w:tc>
          <w:tcPr>
            <w:tcW w:w="1641" w:type="dxa"/>
          </w:tcPr>
          <w:p w14:paraId="7994EF74" w14:textId="77777777" w:rsidR="009D6B7A" w:rsidRDefault="00FF1B05">
            <w:pPr>
              <w:jc w:val="center"/>
              <w:rPr>
                <w:sz w:val="18"/>
                <w:szCs w:val="18"/>
              </w:rPr>
            </w:pPr>
            <w:r>
              <w:rPr>
                <w:rFonts w:hint="eastAsia"/>
                <w:sz w:val="18"/>
                <w:szCs w:val="18"/>
              </w:rPr>
              <w:t>膏状</w:t>
            </w:r>
          </w:p>
        </w:tc>
        <w:tc>
          <w:tcPr>
            <w:tcW w:w="1417" w:type="dxa"/>
          </w:tcPr>
          <w:p w14:paraId="61B32202" w14:textId="77777777" w:rsidR="009D6B7A" w:rsidRDefault="00FF1B05">
            <w:pPr>
              <w:jc w:val="center"/>
              <w:rPr>
                <w:sz w:val="18"/>
                <w:szCs w:val="18"/>
              </w:rPr>
            </w:pPr>
            <w:r>
              <w:rPr>
                <w:rFonts w:hint="eastAsia"/>
                <w:sz w:val="18"/>
                <w:szCs w:val="18"/>
              </w:rPr>
              <w:t>液状</w:t>
            </w:r>
          </w:p>
        </w:tc>
      </w:tr>
      <w:tr w:rsidR="009D6B7A" w14:paraId="65E518A3" w14:textId="77777777">
        <w:trPr>
          <w:cantSplit/>
          <w:jc w:val="center"/>
        </w:trPr>
        <w:tc>
          <w:tcPr>
            <w:tcW w:w="3794" w:type="dxa"/>
            <w:tcBorders>
              <w:right w:val="nil"/>
            </w:tcBorders>
          </w:tcPr>
          <w:p w14:paraId="3B9F8F0C" w14:textId="77777777" w:rsidR="009D6B7A" w:rsidRPr="00663107" w:rsidRDefault="00FF1B05">
            <w:pPr>
              <w:rPr>
                <w:sz w:val="18"/>
                <w:szCs w:val="18"/>
              </w:rPr>
            </w:pPr>
            <w:r w:rsidRPr="00663107">
              <w:rPr>
                <w:rFonts w:hint="eastAsia"/>
                <w:sz w:val="18"/>
                <w:szCs w:val="18"/>
              </w:rPr>
              <w:t>乙氧基化烷基磺酸钠含量</w:t>
            </w:r>
            <w:r w:rsidRPr="00663107">
              <w:rPr>
                <w:rFonts w:hint="eastAsia"/>
                <w:sz w:val="18"/>
                <w:szCs w:val="18"/>
              </w:rPr>
              <w:t>/%</w:t>
            </w:r>
          </w:p>
        </w:tc>
        <w:tc>
          <w:tcPr>
            <w:tcW w:w="514" w:type="dxa"/>
            <w:tcBorders>
              <w:left w:val="nil"/>
            </w:tcBorders>
            <w:vAlign w:val="center"/>
          </w:tcPr>
          <w:p w14:paraId="733F9BE5" w14:textId="77777777" w:rsidR="009D6B7A" w:rsidRDefault="009D6B7A">
            <w:pPr>
              <w:jc w:val="center"/>
              <w:rPr>
                <w:sz w:val="18"/>
                <w:szCs w:val="18"/>
              </w:rPr>
            </w:pPr>
          </w:p>
        </w:tc>
        <w:tc>
          <w:tcPr>
            <w:tcW w:w="1641" w:type="dxa"/>
          </w:tcPr>
          <w:p w14:paraId="6A4C868B" w14:textId="77777777" w:rsidR="009D6B7A" w:rsidRDefault="00FF1B05">
            <w:pPr>
              <w:jc w:val="center"/>
              <w:rPr>
                <w:sz w:val="18"/>
                <w:szCs w:val="18"/>
              </w:rPr>
            </w:pPr>
            <w:r>
              <w:rPr>
                <w:sz w:val="18"/>
                <w:szCs w:val="18"/>
              </w:rPr>
              <w:t>70.0</w:t>
            </w:r>
            <w:r>
              <w:rPr>
                <w:rFonts w:ascii="宋体" w:hAnsi="宋体" w:hint="eastAsia"/>
                <w:sz w:val="18"/>
                <w:szCs w:val="18"/>
              </w:rPr>
              <w:t>±</w:t>
            </w:r>
            <w:r>
              <w:rPr>
                <w:sz w:val="18"/>
                <w:szCs w:val="18"/>
              </w:rPr>
              <w:t>2</w:t>
            </w:r>
            <w:r>
              <w:rPr>
                <w:rFonts w:hint="eastAsia"/>
                <w:sz w:val="18"/>
                <w:szCs w:val="18"/>
              </w:rPr>
              <w:t>.0</w:t>
            </w:r>
          </w:p>
        </w:tc>
        <w:tc>
          <w:tcPr>
            <w:tcW w:w="1417" w:type="dxa"/>
          </w:tcPr>
          <w:p w14:paraId="14D26122" w14:textId="77777777" w:rsidR="009D6B7A" w:rsidRDefault="00FF1B05">
            <w:pPr>
              <w:jc w:val="center"/>
              <w:rPr>
                <w:sz w:val="18"/>
                <w:szCs w:val="18"/>
              </w:rPr>
            </w:pPr>
            <w:r>
              <w:rPr>
                <w:rFonts w:hint="eastAsia"/>
                <w:sz w:val="18"/>
                <w:szCs w:val="18"/>
              </w:rPr>
              <w:t>指标</w:t>
            </w:r>
            <w:r>
              <w:rPr>
                <w:rFonts w:ascii="宋体" w:hAnsi="宋体" w:hint="eastAsia"/>
                <w:sz w:val="18"/>
                <w:szCs w:val="18"/>
              </w:rPr>
              <w:t>值±</w:t>
            </w:r>
            <w:r>
              <w:rPr>
                <w:rFonts w:hint="eastAsia"/>
                <w:sz w:val="18"/>
                <w:szCs w:val="18"/>
              </w:rPr>
              <w:t>1.0</w:t>
            </w:r>
          </w:p>
        </w:tc>
      </w:tr>
      <w:tr w:rsidR="009D6B7A" w14:paraId="6541F687" w14:textId="77777777">
        <w:trPr>
          <w:cantSplit/>
          <w:jc w:val="center"/>
        </w:trPr>
        <w:tc>
          <w:tcPr>
            <w:tcW w:w="3794" w:type="dxa"/>
            <w:tcBorders>
              <w:right w:val="nil"/>
            </w:tcBorders>
          </w:tcPr>
          <w:p w14:paraId="20EF0367" w14:textId="77777777" w:rsidR="009D6B7A" w:rsidRDefault="00FF1B05">
            <w:pPr>
              <w:tabs>
                <w:tab w:val="left" w:pos="3360"/>
              </w:tabs>
              <w:rPr>
                <w:sz w:val="18"/>
                <w:szCs w:val="18"/>
              </w:rPr>
            </w:pPr>
            <w:r>
              <w:rPr>
                <w:rFonts w:hint="eastAsia"/>
                <w:sz w:val="18"/>
                <w:szCs w:val="18"/>
              </w:rPr>
              <w:t>未硫酸化物含量</w:t>
            </w:r>
            <w:r>
              <w:rPr>
                <w:rFonts w:hint="eastAsia"/>
                <w:sz w:val="18"/>
                <w:szCs w:val="18"/>
              </w:rPr>
              <w:t>/%</w:t>
            </w:r>
          </w:p>
        </w:tc>
        <w:tc>
          <w:tcPr>
            <w:tcW w:w="514" w:type="dxa"/>
            <w:tcBorders>
              <w:left w:val="nil"/>
            </w:tcBorders>
            <w:vAlign w:val="center"/>
          </w:tcPr>
          <w:p w14:paraId="0C624643" w14:textId="77777777" w:rsidR="009D6B7A" w:rsidRDefault="00FF1B05">
            <w:pPr>
              <w:tabs>
                <w:tab w:val="left" w:pos="3360"/>
              </w:tabs>
              <w:ind w:left="72"/>
              <w:jc w:val="center"/>
              <w:rPr>
                <w:sz w:val="18"/>
                <w:szCs w:val="18"/>
              </w:rPr>
            </w:pPr>
            <w:r>
              <w:rPr>
                <w:rFonts w:hint="eastAsia"/>
                <w:sz w:val="18"/>
                <w:szCs w:val="18"/>
              </w:rPr>
              <w:t>≤</w:t>
            </w:r>
          </w:p>
        </w:tc>
        <w:tc>
          <w:tcPr>
            <w:tcW w:w="1641" w:type="dxa"/>
          </w:tcPr>
          <w:p w14:paraId="312E2287" w14:textId="77777777" w:rsidR="009D6B7A" w:rsidRDefault="00FF1B05">
            <w:pPr>
              <w:jc w:val="center"/>
              <w:rPr>
                <w:sz w:val="18"/>
                <w:szCs w:val="18"/>
              </w:rPr>
            </w:pPr>
            <w:r>
              <w:rPr>
                <w:sz w:val="18"/>
                <w:szCs w:val="18"/>
              </w:rPr>
              <w:t>3.5</w:t>
            </w:r>
          </w:p>
        </w:tc>
        <w:tc>
          <w:tcPr>
            <w:tcW w:w="1417" w:type="dxa"/>
          </w:tcPr>
          <w:p w14:paraId="51EF52A2" w14:textId="77777777" w:rsidR="009D6B7A" w:rsidRDefault="00FF1B05">
            <w:pPr>
              <w:jc w:val="center"/>
              <w:rPr>
                <w:sz w:val="18"/>
                <w:szCs w:val="18"/>
              </w:rPr>
            </w:pPr>
            <w:r>
              <w:rPr>
                <w:sz w:val="18"/>
                <w:szCs w:val="18"/>
              </w:rPr>
              <w:t>1.5</w:t>
            </w:r>
          </w:p>
        </w:tc>
      </w:tr>
      <w:tr w:rsidR="009D6B7A" w14:paraId="28278216" w14:textId="77777777">
        <w:trPr>
          <w:cantSplit/>
          <w:jc w:val="center"/>
        </w:trPr>
        <w:tc>
          <w:tcPr>
            <w:tcW w:w="3794" w:type="dxa"/>
            <w:tcBorders>
              <w:right w:val="nil"/>
            </w:tcBorders>
          </w:tcPr>
          <w:p w14:paraId="2E9B858A" w14:textId="77777777" w:rsidR="009D6B7A" w:rsidRDefault="00FF1B05">
            <w:pPr>
              <w:rPr>
                <w:sz w:val="18"/>
                <w:szCs w:val="18"/>
              </w:rPr>
            </w:pPr>
            <w:r>
              <w:rPr>
                <w:rFonts w:hint="eastAsia"/>
                <w:sz w:val="18"/>
                <w:szCs w:val="18"/>
              </w:rPr>
              <w:t>硫酸钠含量</w:t>
            </w:r>
            <w:r>
              <w:rPr>
                <w:rFonts w:hint="eastAsia"/>
                <w:sz w:val="18"/>
                <w:szCs w:val="18"/>
              </w:rPr>
              <w:t>/%</w:t>
            </w:r>
          </w:p>
        </w:tc>
        <w:tc>
          <w:tcPr>
            <w:tcW w:w="514" w:type="dxa"/>
            <w:tcBorders>
              <w:left w:val="nil"/>
            </w:tcBorders>
            <w:vAlign w:val="center"/>
          </w:tcPr>
          <w:p w14:paraId="1F5ED993" w14:textId="77777777" w:rsidR="009D6B7A" w:rsidRDefault="00FF1B05">
            <w:pPr>
              <w:ind w:left="72"/>
              <w:jc w:val="center"/>
              <w:rPr>
                <w:sz w:val="18"/>
                <w:szCs w:val="18"/>
              </w:rPr>
            </w:pPr>
            <w:r>
              <w:rPr>
                <w:rFonts w:hint="eastAsia"/>
                <w:sz w:val="18"/>
                <w:szCs w:val="18"/>
              </w:rPr>
              <w:t>≤</w:t>
            </w:r>
          </w:p>
        </w:tc>
        <w:tc>
          <w:tcPr>
            <w:tcW w:w="1641" w:type="dxa"/>
          </w:tcPr>
          <w:p w14:paraId="14CD9919" w14:textId="77777777" w:rsidR="009D6B7A" w:rsidRDefault="00FF1B05">
            <w:pPr>
              <w:jc w:val="center"/>
              <w:rPr>
                <w:sz w:val="18"/>
                <w:szCs w:val="18"/>
              </w:rPr>
            </w:pPr>
            <w:r>
              <w:rPr>
                <w:sz w:val="18"/>
                <w:szCs w:val="18"/>
              </w:rPr>
              <w:t>1.5</w:t>
            </w:r>
          </w:p>
        </w:tc>
        <w:tc>
          <w:tcPr>
            <w:tcW w:w="1417" w:type="dxa"/>
          </w:tcPr>
          <w:p w14:paraId="2E770C81" w14:textId="77777777" w:rsidR="009D6B7A" w:rsidRDefault="00FF1B05">
            <w:pPr>
              <w:jc w:val="center"/>
              <w:rPr>
                <w:sz w:val="18"/>
                <w:szCs w:val="18"/>
              </w:rPr>
            </w:pPr>
            <w:r>
              <w:rPr>
                <w:sz w:val="18"/>
                <w:szCs w:val="18"/>
              </w:rPr>
              <w:t>0.6</w:t>
            </w:r>
          </w:p>
        </w:tc>
      </w:tr>
      <w:tr w:rsidR="009D6B7A" w14:paraId="67AA3837" w14:textId="77777777">
        <w:trPr>
          <w:cantSplit/>
          <w:jc w:val="center"/>
        </w:trPr>
        <w:tc>
          <w:tcPr>
            <w:tcW w:w="3794" w:type="dxa"/>
            <w:tcBorders>
              <w:right w:val="nil"/>
            </w:tcBorders>
          </w:tcPr>
          <w:p w14:paraId="0EB65BF0" w14:textId="77777777" w:rsidR="009D6B7A" w:rsidRDefault="00FF1B05">
            <w:pPr>
              <w:rPr>
                <w:sz w:val="18"/>
                <w:szCs w:val="18"/>
              </w:rPr>
            </w:pPr>
            <w:r>
              <w:rPr>
                <w:rFonts w:hint="eastAsia"/>
                <w:sz w:val="18"/>
                <w:szCs w:val="18"/>
              </w:rPr>
              <w:t>pH</w:t>
            </w:r>
            <w:r>
              <w:rPr>
                <w:rFonts w:hint="eastAsia"/>
                <w:sz w:val="18"/>
                <w:szCs w:val="18"/>
              </w:rPr>
              <w:t>值（以</w:t>
            </w:r>
            <w:r>
              <w:rPr>
                <w:rFonts w:hint="eastAsia"/>
                <w:sz w:val="18"/>
                <w:szCs w:val="18"/>
              </w:rPr>
              <w:t>1%AES</w:t>
            </w:r>
            <w:r>
              <w:rPr>
                <w:rFonts w:hint="eastAsia"/>
                <w:sz w:val="18"/>
                <w:szCs w:val="18"/>
              </w:rPr>
              <w:t>计，水溶液，</w:t>
            </w:r>
            <w:r>
              <w:rPr>
                <w:rFonts w:hint="eastAsia"/>
                <w:sz w:val="18"/>
                <w:szCs w:val="18"/>
              </w:rPr>
              <w:t>25</w:t>
            </w:r>
            <w:r>
              <w:rPr>
                <w:rFonts w:hint="eastAsia"/>
                <w:sz w:val="18"/>
                <w:szCs w:val="18"/>
              </w:rPr>
              <w:t>℃）</w:t>
            </w:r>
          </w:p>
        </w:tc>
        <w:tc>
          <w:tcPr>
            <w:tcW w:w="514" w:type="dxa"/>
            <w:tcBorders>
              <w:left w:val="nil"/>
            </w:tcBorders>
            <w:vAlign w:val="center"/>
          </w:tcPr>
          <w:p w14:paraId="04F1C6C8" w14:textId="77777777" w:rsidR="009D6B7A" w:rsidRDefault="009D6B7A">
            <w:pPr>
              <w:jc w:val="center"/>
              <w:rPr>
                <w:sz w:val="18"/>
                <w:szCs w:val="18"/>
              </w:rPr>
            </w:pPr>
          </w:p>
        </w:tc>
        <w:tc>
          <w:tcPr>
            <w:tcW w:w="3058" w:type="dxa"/>
            <w:gridSpan w:val="2"/>
          </w:tcPr>
          <w:p w14:paraId="4A6389CC" w14:textId="77777777" w:rsidR="009D6B7A" w:rsidRDefault="00FF1B05">
            <w:pPr>
              <w:jc w:val="center"/>
              <w:rPr>
                <w:sz w:val="18"/>
                <w:szCs w:val="18"/>
              </w:rPr>
            </w:pPr>
            <w:r>
              <w:rPr>
                <w:sz w:val="18"/>
                <w:szCs w:val="18"/>
              </w:rPr>
              <w:t>6.5</w:t>
            </w:r>
            <w:r>
              <w:rPr>
                <w:rFonts w:hint="eastAsia"/>
                <w:sz w:val="18"/>
                <w:szCs w:val="18"/>
              </w:rPr>
              <w:t>~11.0</w:t>
            </w:r>
          </w:p>
        </w:tc>
      </w:tr>
      <w:tr w:rsidR="009D6B7A" w14:paraId="1EC9A4F4" w14:textId="77777777">
        <w:trPr>
          <w:cantSplit/>
          <w:jc w:val="center"/>
        </w:trPr>
        <w:tc>
          <w:tcPr>
            <w:tcW w:w="3794" w:type="dxa"/>
            <w:tcBorders>
              <w:right w:val="nil"/>
            </w:tcBorders>
          </w:tcPr>
          <w:p w14:paraId="083B7F69" w14:textId="77777777" w:rsidR="009D6B7A" w:rsidRDefault="00FF1B05">
            <w:pPr>
              <w:rPr>
                <w:sz w:val="18"/>
                <w:szCs w:val="18"/>
              </w:rPr>
            </w:pPr>
            <w:r>
              <w:rPr>
                <w:rFonts w:hint="eastAsia"/>
                <w:sz w:val="18"/>
                <w:szCs w:val="18"/>
              </w:rPr>
              <w:t>色泽（以</w:t>
            </w:r>
            <w:r>
              <w:rPr>
                <w:sz w:val="18"/>
                <w:szCs w:val="18"/>
              </w:rPr>
              <w:t>5%</w:t>
            </w:r>
            <w:r>
              <w:rPr>
                <w:rFonts w:hint="eastAsia"/>
                <w:sz w:val="18"/>
                <w:szCs w:val="18"/>
              </w:rPr>
              <w:t>AES</w:t>
            </w:r>
            <w:r>
              <w:rPr>
                <w:rFonts w:hint="eastAsia"/>
                <w:sz w:val="18"/>
                <w:szCs w:val="18"/>
              </w:rPr>
              <w:t>计，水溶液）</w:t>
            </w:r>
            <w:r>
              <w:rPr>
                <w:rFonts w:hint="eastAsia"/>
                <w:sz w:val="18"/>
                <w:szCs w:val="18"/>
              </w:rPr>
              <w:t>/Hazen</w:t>
            </w:r>
          </w:p>
        </w:tc>
        <w:tc>
          <w:tcPr>
            <w:tcW w:w="514" w:type="dxa"/>
            <w:tcBorders>
              <w:left w:val="nil"/>
            </w:tcBorders>
            <w:vAlign w:val="center"/>
          </w:tcPr>
          <w:p w14:paraId="6D93820F" w14:textId="77777777" w:rsidR="009D6B7A" w:rsidRDefault="00FF1B05">
            <w:pPr>
              <w:ind w:left="87"/>
              <w:jc w:val="center"/>
              <w:rPr>
                <w:sz w:val="18"/>
                <w:szCs w:val="18"/>
              </w:rPr>
            </w:pPr>
            <w:r>
              <w:rPr>
                <w:rFonts w:hint="eastAsia"/>
                <w:sz w:val="18"/>
                <w:szCs w:val="18"/>
              </w:rPr>
              <w:t>≤</w:t>
            </w:r>
          </w:p>
        </w:tc>
        <w:tc>
          <w:tcPr>
            <w:tcW w:w="3058" w:type="dxa"/>
            <w:gridSpan w:val="2"/>
            <w:vAlign w:val="center"/>
          </w:tcPr>
          <w:p w14:paraId="4EF16C04" w14:textId="77777777" w:rsidR="009D6B7A" w:rsidRDefault="00FF1B05">
            <w:pPr>
              <w:jc w:val="center"/>
              <w:rPr>
                <w:sz w:val="18"/>
                <w:szCs w:val="18"/>
              </w:rPr>
            </w:pPr>
            <w:r>
              <w:rPr>
                <w:rFonts w:hint="eastAsia"/>
                <w:sz w:val="18"/>
                <w:szCs w:val="18"/>
              </w:rPr>
              <w:t>30</w:t>
            </w:r>
          </w:p>
        </w:tc>
      </w:tr>
      <w:tr w:rsidR="009D6B7A" w14:paraId="6CAF7F01" w14:textId="77777777">
        <w:trPr>
          <w:cantSplit/>
          <w:jc w:val="center"/>
        </w:trPr>
        <w:tc>
          <w:tcPr>
            <w:tcW w:w="3794" w:type="dxa"/>
            <w:tcBorders>
              <w:right w:val="nil"/>
            </w:tcBorders>
          </w:tcPr>
          <w:p w14:paraId="38C9F3C4" w14:textId="77777777" w:rsidR="009D6B7A" w:rsidRDefault="00FF1B05">
            <w:pPr>
              <w:rPr>
                <w:sz w:val="18"/>
                <w:szCs w:val="18"/>
              </w:rPr>
            </w:pPr>
            <w:r>
              <w:rPr>
                <w:rFonts w:hint="eastAsia"/>
                <w:sz w:val="18"/>
                <w:szCs w:val="18"/>
              </w:rPr>
              <w:t>1</w:t>
            </w:r>
            <w:r>
              <w:rPr>
                <w:rFonts w:hint="eastAsia"/>
                <w:sz w:val="18"/>
                <w:szCs w:val="18"/>
              </w:rPr>
              <w:t>，</w:t>
            </w:r>
            <w:r>
              <w:rPr>
                <w:rFonts w:hint="eastAsia"/>
                <w:sz w:val="18"/>
                <w:szCs w:val="18"/>
              </w:rPr>
              <w:t>4-</w:t>
            </w:r>
            <w:r>
              <w:rPr>
                <w:rFonts w:hint="eastAsia"/>
                <w:sz w:val="18"/>
                <w:szCs w:val="18"/>
              </w:rPr>
              <w:t>二噁烷（以</w:t>
            </w:r>
            <w:r>
              <w:rPr>
                <w:rFonts w:hint="eastAsia"/>
                <w:sz w:val="18"/>
                <w:szCs w:val="18"/>
              </w:rPr>
              <w:t>100%AES</w:t>
            </w:r>
            <w:r>
              <w:rPr>
                <w:rFonts w:hint="eastAsia"/>
                <w:sz w:val="18"/>
                <w:szCs w:val="18"/>
              </w:rPr>
              <w:t>计）</w:t>
            </w:r>
            <w:r>
              <w:rPr>
                <w:rFonts w:hint="eastAsia"/>
                <w:sz w:val="18"/>
                <w:szCs w:val="18"/>
              </w:rPr>
              <w:t>/(mg/kg)</w:t>
            </w:r>
          </w:p>
        </w:tc>
        <w:tc>
          <w:tcPr>
            <w:tcW w:w="514" w:type="dxa"/>
            <w:tcBorders>
              <w:left w:val="nil"/>
            </w:tcBorders>
            <w:vAlign w:val="center"/>
          </w:tcPr>
          <w:p w14:paraId="369978DA" w14:textId="77777777" w:rsidR="009D6B7A" w:rsidRDefault="00FF1B05">
            <w:pPr>
              <w:ind w:left="132"/>
              <w:jc w:val="center"/>
              <w:rPr>
                <w:sz w:val="18"/>
                <w:szCs w:val="18"/>
              </w:rPr>
            </w:pPr>
            <w:r>
              <w:rPr>
                <w:rFonts w:hint="eastAsia"/>
                <w:sz w:val="18"/>
                <w:szCs w:val="18"/>
              </w:rPr>
              <w:t>≤</w:t>
            </w:r>
          </w:p>
        </w:tc>
        <w:tc>
          <w:tcPr>
            <w:tcW w:w="3058" w:type="dxa"/>
            <w:gridSpan w:val="2"/>
          </w:tcPr>
          <w:p w14:paraId="38BE0416" w14:textId="77777777" w:rsidR="009D6B7A" w:rsidRDefault="00FF1B05">
            <w:pPr>
              <w:jc w:val="center"/>
              <w:rPr>
                <w:sz w:val="18"/>
                <w:szCs w:val="18"/>
              </w:rPr>
            </w:pPr>
            <w:r>
              <w:rPr>
                <w:rFonts w:hint="eastAsia"/>
                <w:sz w:val="18"/>
                <w:szCs w:val="18"/>
              </w:rPr>
              <w:t>100</w:t>
            </w:r>
          </w:p>
        </w:tc>
      </w:tr>
    </w:tbl>
    <w:p w14:paraId="23A8405A" w14:textId="77777777" w:rsidR="009D6B7A" w:rsidRDefault="00FF1B05">
      <w:pPr>
        <w:pStyle w:val="af2"/>
        <w:numPr>
          <w:ilvl w:val="0"/>
          <w:numId w:val="2"/>
        </w:numPr>
        <w:spacing w:before="156" w:after="156"/>
        <w:rPr>
          <w:bCs/>
        </w:rPr>
      </w:pPr>
      <w:r>
        <w:rPr>
          <w:rFonts w:hint="eastAsia"/>
          <w:bCs/>
        </w:rPr>
        <w:t>试验方法</w:t>
      </w:r>
    </w:p>
    <w:p w14:paraId="08B98142" w14:textId="77777777" w:rsidR="009D6B7A" w:rsidRDefault="00FF1B05">
      <w:pPr>
        <w:ind w:left="1" w:firstLineChars="200" w:firstLine="420"/>
      </w:pPr>
      <w:r>
        <w:rPr>
          <w:rFonts w:hint="eastAsia"/>
        </w:rPr>
        <w:t>除非另有说明，在分析中仅使用认可的分析纯试剂和蒸馏水或去离子水或相当纯度的水。</w:t>
      </w:r>
    </w:p>
    <w:p w14:paraId="4FA07C2B"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.1 外观和气味</w:t>
      </w:r>
    </w:p>
    <w:p w14:paraId="5AC86A7E" w14:textId="77777777" w:rsidR="009D6B7A" w:rsidRDefault="00FF1B05">
      <w:pPr>
        <w:ind w:firstLineChars="200" w:firstLine="420"/>
        <w:rPr>
          <w:rFonts w:ascii="黑体"/>
          <w:bCs/>
        </w:rPr>
      </w:pPr>
      <w:r>
        <w:rPr>
          <w:rFonts w:ascii="黑体" w:hint="eastAsia"/>
          <w:bCs/>
        </w:rPr>
        <w:t>感官测定。</w:t>
      </w:r>
    </w:p>
    <w:p w14:paraId="55AA3AB0"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.2 阴离子活性物含量</w:t>
      </w:r>
    </w:p>
    <w:p w14:paraId="7E9A66BF"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.2.1乙氧基化烷基硫酸钠平均相对分子质量的测定</w:t>
      </w:r>
    </w:p>
    <w:p w14:paraId="0464B469"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.2.1.1 仲裁法</w:t>
      </w:r>
    </w:p>
    <w:p w14:paraId="2669DFE9" w14:textId="77777777" w:rsidR="009D6B7A" w:rsidRDefault="00FF1B05">
      <w:pPr>
        <w:ind w:firstLineChars="200" w:firstLine="420"/>
      </w:pPr>
      <w:r>
        <w:rPr>
          <w:rFonts w:hint="eastAsia"/>
        </w:rPr>
        <w:t>按</w:t>
      </w:r>
      <w:r>
        <w:t>GB/T 13530</w:t>
      </w:r>
      <w:r>
        <w:rPr>
          <w:rFonts w:hint="eastAsia"/>
        </w:rPr>
        <w:t>规定进行。</w:t>
      </w:r>
    </w:p>
    <w:p w14:paraId="46BFB739"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2</w:t>
      </w:r>
      <w:r>
        <w:rPr>
          <w:rFonts w:ascii="黑体" w:eastAsia="黑体"/>
          <w:bCs/>
        </w:rPr>
        <w:t xml:space="preserve">.1.2 </w:t>
      </w:r>
      <w:r>
        <w:rPr>
          <w:rFonts w:ascii="黑体" w:eastAsia="黑体" w:hint="eastAsia"/>
          <w:bCs/>
        </w:rPr>
        <w:t>计算法</w:t>
      </w:r>
    </w:p>
    <w:p w14:paraId="43E4EDC8" w14:textId="77777777" w:rsidR="009D6B7A" w:rsidRDefault="00FF1B05">
      <w:pPr>
        <w:ind w:firstLine="420"/>
      </w:pPr>
      <w:r>
        <w:rPr>
          <w:rFonts w:hint="eastAsia"/>
        </w:rPr>
        <w:t>按</w:t>
      </w:r>
      <w:r>
        <w:t>GB/T 17829</w:t>
      </w:r>
      <w:r>
        <w:rPr>
          <w:rFonts w:hint="eastAsia"/>
        </w:rPr>
        <w:t>-1999</w:t>
      </w:r>
      <w:r>
        <w:rPr>
          <w:rFonts w:hint="eastAsia"/>
        </w:rPr>
        <w:t>中</w:t>
      </w:r>
      <w:r>
        <w:t>5.6.2</w:t>
      </w:r>
      <w:r>
        <w:rPr>
          <w:rFonts w:hint="eastAsia"/>
        </w:rPr>
        <w:t>和</w:t>
      </w:r>
      <w:r>
        <w:t>5.6.3.1</w:t>
      </w:r>
      <w:r>
        <w:rPr>
          <w:rFonts w:hint="eastAsia"/>
        </w:rPr>
        <w:t>得到聚乙氧基化脂肪醇的平均相对分子质量，乙氧基化烷基硫酸钠的平均相对分子质量</w:t>
      </w:r>
      <w:r>
        <w:t>M</w:t>
      </w:r>
      <w:r>
        <w:rPr>
          <w:rFonts w:hint="eastAsia"/>
        </w:rPr>
        <w:t>按式（</w:t>
      </w:r>
      <w:r>
        <w:rPr>
          <w:rFonts w:hint="eastAsia"/>
        </w:rPr>
        <w:t>1</w:t>
      </w:r>
      <w:r>
        <w:rPr>
          <w:rFonts w:hint="eastAsia"/>
        </w:rPr>
        <w:t>）计算：</w:t>
      </w:r>
    </w:p>
    <w:p w14:paraId="4082F6F6" w14:textId="77777777" w:rsidR="009D6B7A" w:rsidRDefault="00FF1B05">
      <w:pPr>
        <w:ind w:firstLine="1843"/>
      </w:pPr>
      <w:r>
        <w:rPr>
          <w:position w:val="-10"/>
        </w:rPr>
        <w:object w:dxaOrig="2660" w:dyaOrig="358" w14:anchorId="342F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8pt" o:ole="">
            <v:imagedata r:id="rId20" o:title=""/>
          </v:shape>
          <o:OLEObject Type="Embed" ProgID="Equation.3" ShapeID="_x0000_i1025" DrawAspect="Content" ObjectID="_1692448954" r:id="rId21"/>
        </w:object>
      </w:r>
      <w:r>
        <w:rPr>
          <w:rFonts w:hint="eastAsia"/>
        </w:rPr>
        <w:t>……</w:t>
      </w:r>
      <w:proofErr w:type="gramStart"/>
      <w:r>
        <w:rPr>
          <w:rFonts w:hint="eastAsia"/>
        </w:rPr>
        <w:t>……………………………………………</w:t>
      </w:r>
      <w:proofErr w:type="gramEnd"/>
      <w:r>
        <w:rPr>
          <w:rFonts w:hint="eastAsia"/>
        </w:rPr>
        <w:t>（</w:t>
      </w:r>
      <w:r>
        <w:rPr>
          <w:rFonts w:hint="eastAsia"/>
        </w:rPr>
        <w:t>1</w:t>
      </w:r>
      <w:r>
        <w:rPr>
          <w:rFonts w:hint="eastAsia"/>
        </w:rPr>
        <w:t>）</w:t>
      </w:r>
    </w:p>
    <w:p w14:paraId="7B490505" w14:textId="77777777" w:rsidR="009D6B7A" w:rsidRDefault="00FF1B05">
      <w:pPr>
        <w:ind w:firstLineChars="200" w:firstLine="420"/>
      </w:pPr>
      <w:r>
        <w:rPr>
          <w:rFonts w:hint="eastAsia"/>
        </w:rPr>
        <w:t>式中：</w:t>
      </w:r>
    </w:p>
    <w:p w14:paraId="3B527FDC" w14:textId="77777777" w:rsidR="009D6B7A" w:rsidRDefault="00FF1B05">
      <w:pPr>
        <w:ind w:firstLineChars="200" w:firstLine="420"/>
      </w:pPr>
      <w:r>
        <w:t>M</w:t>
      </w:r>
      <w:r>
        <w:rPr>
          <w:rFonts w:hint="eastAsia"/>
        </w:rPr>
        <w:t>——乙氧基化烷基硫酸钠的平均相对分子质量；</w:t>
      </w:r>
    </w:p>
    <w:p w14:paraId="66FFFC40" w14:textId="77777777" w:rsidR="009D6B7A" w:rsidRDefault="00FF1B05">
      <w:pPr>
        <w:ind w:firstLineChars="200" w:firstLine="420"/>
      </w:pPr>
      <w:r>
        <w:t>M</w:t>
      </w:r>
      <w:r>
        <w:rPr>
          <w:sz w:val="13"/>
        </w:rPr>
        <w:t>1</w:t>
      </w:r>
      <w:r>
        <w:rPr>
          <w:rFonts w:hint="eastAsia"/>
        </w:rPr>
        <w:t>——聚乙氧基化脂肪醇的平均相对分子质量；</w:t>
      </w:r>
    </w:p>
    <w:p w14:paraId="057D2195" w14:textId="77777777" w:rsidR="009D6B7A" w:rsidRDefault="00FF1B05">
      <w:pPr>
        <w:ind w:firstLineChars="200" w:firstLine="420"/>
      </w:pPr>
      <w:r>
        <w:t>M</w:t>
      </w:r>
      <w:r>
        <w:rPr>
          <w:sz w:val="13"/>
        </w:rPr>
        <w:t>2</w:t>
      </w:r>
      <w:r>
        <w:rPr>
          <w:rFonts w:hint="eastAsia"/>
        </w:rPr>
        <w:t>——三氧化硫的相对分子质量，以</w:t>
      </w:r>
      <w:r>
        <w:t>80</w:t>
      </w:r>
      <w:r>
        <w:rPr>
          <w:rFonts w:hint="eastAsia"/>
        </w:rPr>
        <w:t>计；</w:t>
      </w:r>
    </w:p>
    <w:p w14:paraId="2C7E0E0C" w14:textId="77777777" w:rsidR="009D6B7A" w:rsidRDefault="00FF1B05">
      <w:pPr>
        <w:ind w:firstLineChars="200" w:firstLine="420"/>
      </w:pPr>
      <w:r>
        <w:t>M</w:t>
      </w:r>
      <w:r>
        <w:rPr>
          <w:sz w:val="13"/>
        </w:rPr>
        <w:t>3</w:t>
      </w:r>
      <w:r>
        <w:rPr>
          <w:rFonts w:hint="eastAsia"/>
        </w:rPr>
        <w:t>——钠的相对原子质量，以</w:t>
      </w:r>
      <w:r>
        <w:t>23</w:t>
      </w:r>
      <w:r>
        <w:rPr>
          <w:rFonts w:hint="eastAsia"/>
        </w:rPr>
        <w:t>计；</w:t>
      </w:r>
    </w:p>
    <w:p w14:paraId="7AEDAFAF" w14:textId="77777777" w:rsidR="009D6B7A" w:rsidRDefault="00FF1B05">
      <w:pPr>
        <w:ind w:firstLine="420"/>
      </w:pPr>
      <w:r>
        <w:t>M</w:t>
      </w:r>
      <w:r>
        <w:rPr>
          <w:sz w:val="13"/>
        </w:rPr>
        <w:t>4</w:t>
      </w:r>
      <w:r>
        <w:rPr>
          <w:rFonts w:hint="eastAsia"/>
        </w:rPr>
        <w:t>——氢的相对原子质量，以</w:t>
      </w:r>
      <w:r>
        <w:t>1</w:t>
      </w:r>
      <w:r>
        <w:rPr>
          <w:rFonts w:hint="eastAsia"/>
        </w:rPr>
        <w:t>计。</w:t>
      </w:r>
    </w:p>
    <w:p w14:paraId="0B79B7CD" w14:textId="77777777" w:rsidR="009D6B7A" w:rsidRDefault="00FF1B05">
      <w:pPr>
        <w:ind w:firstLine="420"/>
      </w:pPr>
      <w:r>
        <w:rPr>
          <w:rFonts w:hint="eastAsia"/>
        </w:rPr>
        <w:t>计算结果表示至个位。</w:t>
      </w:r>
    </w:p>
    <w:p w14:paraId="578CE440" w14:textId="77777777" w:rsidR="009D6B7A" w:rsidRDefault="00FF1B05">
      <w:pPr>
        <w:spacing w:beforeLines="50" w:before="156" w:afterLines="50" w:after="156"/>
        <w:rPr>
          <w:rFonts w:ascii="黑体" w:eastAsia="黑体"/>
          <w:bCs/>
        </w:rPr>
      </w:pPr>
      <w:r>
        <w:rPr>
          <w:rFonts w:ascii="黑体" w:eastAsia="黑体"/>
          <w:bCs/>
        </w:rPr>
        <w:t>6.</w:t>
      </w:r>
      <w:r>
        <w:rPr>
          <w:rFonts w:ascii="黑体" w:eastAsia="黑体" w:hint="eastAsia"/>
          <w:bCs/>
        </w:rPr>
        <w:t>2.2</w:t>
      </w:r>
      <w:r>
        <w:rPr>
          <w:rFonts w:ascii="黑体" w:eastAsia="黑体"/>
          <w:bCs/>
        </w:rPr>
        <w:t xml:space="preserve"> </w:t>
      </w:r>
      <w:r>
        <w:rPr>
          <w:rFonts w:ascii="黑体" w:eastAsia="黑体" w:hint="eastAsia"/>
          <w:bCs/>
        </w:rPr>
        <w:t>阴离子活性物含量的测定</w:t>
      </w:r>
    </w:p>
    <w:p w14:paraId="531D4E9B" w14:textId="77777777" w:rsidR="009D6B7A" w:rsidRDefault="00FF1B05">
      <w:pPr>
        <w:ind w:firstLineChars="200" w:firstLine="420"/>
      </w:pPr>
      <w:r>
        <w:t>按</w:t>
      </w:r>
      <w:r>
        <w:t>GB/T 5173</w:t>
      </w:r>
      <w:r>
        <w:t>规定</w:t>
      </w:r>
      <w:r>
        <w:rPr>
          <w:rFonts w:hint="eastAsia"/>
        </w:rPr>
        <w:t>测定</w:t>
      </w:r>
      <w:r>
        <w:t>，应用</w:t>
      </w:r>
      <w:r>
        <w:rPr>
          <w:rFonts w:hint="eastAsia"/>
        </w:rPr>
        <w:t>6</w:t>
      </w:r>
      <w:r>
        <w:t>.2.1</w:t>
      </w:r>
      <w:r>
        <w:t>所得平均相对分子质量计算</w:t>
      </w:r>
      <w:r>
        <w:rPr>
          <w:rFonts w:hint="eastAsia"/>
        </w:rPr>
        <w:t>结果。</w:t>
      </w:r>
    </w:p>
    <w:p w14:paraId="265D649B" w14:textId="77777777" w:rsidR="009D6B7A" w:rsidRDefault="00FF1B05">
      <w:pPr>
        <w:spacing w:beforeLines="50" w:before="156"/>
        <w:rPr>
          <w:rFonts w:eastAsia="黑体"/>
          <w:bCs/>
        </w:rPr>
      </w:pPr>
      <w:r>
        <w:rPr>
          <w:rFonts w:eastAsia="黑体"/>
          <w:bCs/>
        </w:rPr>
        <w:t xml:space="preserve">6.3 </w:t>
      </w:r>
      <w:r>
        <w:rPr>
          <w:rFonts w:eastAsia="黑体"/>
          <w:bCs/>
        </w:rPr>
        <w:t>未硫酸化物含量</w:t>
      </w:r>
    </w:p>
    <w:p w14:paraId="67E94F0B" w14:textId="77777777" w:rsidR="009D6B7A" w:rsidRDefault="00FF1B05">
      <w:pPr>
        <w:ind w:firstLine="420"/>
      </w:pPr>
      <w:r>
        <w:t>按</w:t>
      </w:r>
      <w:r>
        <w:t>GB/T 13530</w:t>
      </w:r>
      <w:r>
        <w:t>规定</w:t>
      </w:r>
      <w:r>
        <w:rPr>
          <w:rFonts w:hint="eastAsia"/>
        </w:rPr>
        <w:t>测定。</w:t>
      </w:r>
    </w:p>
    <w:p w14:paraId="7C8A56CC" w14:textId="77777777" w:rsidR="009D6B7A" w:rsidRDefault="00FF1B05">
      <w:pPr>
        <w:spacing w:beforeLines="50" w:before="156" w:afterLines="50" w:after="156"/>
        <w:rPr>
          <w:rFonts w:ascii="黑体" w:eastAsia="黑体" w:hAnsi="黑体" w:cs="黑体"/>
          <w:bCs/>
        </w:rPr>
      </w:pPr>
      <w:r>
        <w:rPr>
          <w:rFonts w:ascii="黑体" w:eastAsia="黑体" w:hAnsi="黑体" w:cs="黑体"/>
          <w:bCs/>
        </w:rPr>
        <w:t>6</w:t>
      </w:r>
      <w:r>
        <w:rPr>
          <w:rFonts w:ascii="黑体" w:eastAsia="黑体" w:hAnsi="黑体" w:cs="黑体" w:hint="eastAsia"/>
          <w:bCs/>
        </w:rPr>
        <w:t>.4 硫酸钠含量</w:t>
      </w:r>
    </w:p>
    <w:p w14:paraId="6230CF56" w14:textId="77777777" w:rsidR="009D6B7A" w:rsidRDefault="00FF1B05">
      <w:pPr>
        <w:ind w:firstLineChars="200" w:firstLine="420"/>
      </w:pPr>
      <w:r>
        <w:t>按</w:t>
      </w:r>
      <w:r>
        <w:t>GB/T 6366</w:t>
      </w:r>
      <w:r>
        <w:t>规定</w:t>
      </w:r>
      <w:r>
        <w:rPr>
          <w:rFonts w:hint="eastAsia"/>
        </w:rPr>
        <w:t>测定。</w:t>
      </w:r>
    </w:p>
    <w:p w14:paraId="058F0092" w14:textId="77777777" w:rsidR="009D6B7A" w:rsidRDefault="00FF1B05">
      <w:pPr>
        <w:rPr>
          <w:rFonts w:ascii="黑体" w:eastAsia="黑体" w:hAnsi="宋体"/>
        </w:rPr>
      </w:pPr>
      <w:r>
        <w:rPr>
          <w:rFonts w:ascii="黑体" w:eastAsia="黑体" w:hAnsi="宋体"/>
        </w:rPr>
        <w:lastRenderedPageBreak/>
        <w:t>6</w:t>
      </w:r>
      <w:r>
        <w:rPr>
          <w:rFonts w:ascii="黑体" w:eastAsia="黑体" w:hAnsi="宋体" w:hint="eastAsia"/>
        </w:rPr>
        <w:t xml:space="preserve">.5 </w:t>
      </w:r>
      <w:r>
        <w:rPr>
          <w:rFonts w:ascii="黑体" w:eastAsia="黑体" w:hAnsi="宋体"/>
        </w:rPr>
        <w:t>pH</w:t>
      </w:r>
      <w:r>
        <w:rPr>
          <w:rFonts w:ascii="黑体" w:eastAsia="黑体" w:hAnsi="宋体" w:hint="eastAsia"/>
        </w:rPr>
        <w:t>值</w:t>
      </w:r>
    </w:p>
    <w:p w14:paraId="5A158AD9" w14:textId="77777777" w:rsidR="009D6B7A" w:rsidRDefault="00FF1B05">
      <w:pPr>
        <w:ind w:firstLine="420"/>
        <w:jc w:val="left"/>
      </w:pPr>
      <w:r>
        <w:rPr>
          <w:rFonts w:hint="eastAsia"/>
        </w:rPr>
        <w:t>按</w:t>
      </w:r>
      <w:r>
        <w:t>GB/T 6368</w:t>
      </w:r>
      <w:r>
        <w:rPr>
          <w:rFonts w:hint="eastAsia"/>
        </w:rPr>
        <w:t>，测定</w:t>
      </w:r>
      <w:r>
        <w:t>25</w:t>
      </w:r>
      <w:r>
        <w:rPr>
          <w:rFonts w:hint="eastAsia"/>
        </w:rPr>
        <w:t>℃时样品</w:t>
      </w:r>
      <w:r>
        <w:t>1%</w:t>
      </w:r>
      <w:r>
        <w:rPr>
          <w:rFonts w:hint="eastAsia"/>
        </w:rPr>
        <w:t>AES</w:t>
      </w:r>
      <w:r>
        <w:rPr>
          <w:rFonts w:hint="eastAsia"/>
        </w:rPr>
        <w:t>活性物水溶液的</w:t>
      </w:r>
      <w:r>
        <w:t>pH</w:t>
      </w:r>
      <w:r>
        <w:rPr>
          <w:rFonts w:hint="eastAsia"/>
        </w:rPr>
        <w:t>值。</w:t>
      </w:r>
    </w:p>
    <w:p w14:paraId="077C8E50" w14:textId="77777777" w:rsidR="009D6B7A" w:rsidRDefault="00FF1B05">
      <w:pPr>
        <w:rPr>
          <w:rFonts w:ascii="黑体" w:eastAsia="黑体" w:hAnsi="宋体"/>
        </w:rPr>
      </w:pPr>
      <w:r>
        <w:rPr>
          <w:rFonts w:ascii="黑体" w:eastAsia="黑体" w:hAnsi="宋体"/>
        </w:rPr>
        <w:t>6</w:t>
      </w:r>
      <w:r>
        <w:rPr>
          <w:rFonts w:ascii="黑体" w:eastAsia="黑体" w:hAnsi="宋体" w:hint="eastAsia"/>
        </w:rPr>
        <w:t>.6色泽</w:t>
      </w:r>
    </w:p>
    <w:p w14:paraId="506C409E" w14:textId="77777777" w:rsidR="009D6B7A" w:rsidRDefault="00FF1B05">
      <w:pPr>
        <w:ind w:firstLineChars="200" w:firstLine="420"/>
      </w:pPr>
      <w:r>
        <w:t>按</w:t>
      </w:r>
      <w:r>
        <w:t xml:space="preserve">GB/T 3143 </w:t>
      </w:r>
      <w:r>
        <w:t>规定</w:t>
      </w:r>
      <w:r>
        <w:rPr>
          <w:rFonts w:hint="eastAsia"/>
        </w:rPr>
        <w:t>测定。</w:t>
      </w:r>
    </w:p>
    <w:p w14:paraId="63F7D805" w14:textId="77777777" w:rsidR="009D6B7A" w:rsidRDefault="00FF1B05">
      <w:pPr>
        <w:rPr>
          <w:rFonts w:ascii="黑体" w:eastAsia="黑体" w:hAnsi="宋体"/>
        </w:rPr>
      </w:pPr>
      <w:r>
        <w:rPr>
          <w:rFonts w:ascii="黑体" w:eastAsia="黑体" w:hAnsi="宋体"/>
        </w:rPr>
        <w:t>6</w:t>
      </w:r>
      <w:r>
        <w:rPr>
          <w:rFonts w:ascii="黑体" w:eastAsia="黑体" w:hAnsi="宋体" w:hint="eastAsia"/>
        </w:rPr>
        <w:t>.7 1，4-二噁烷</w:t>
      </w:r>
    </w:p>
    <w:p w14:paraId="362723DD" w14:textId="77777777" w:rsidR="009D6B7A" w:rsidRDefault="00FF1B05">
      <w:pPr>
        <w:ind w:firstLineChars="200" w:firstLine="420"/>
      </w:pPr>
      <w:r>
        <w:rPr>
          <w:rFonts w:hint="eastAsia"/>
        </w:rPr>
        <w:t>按</w:t>
      </w:r>
      <w:r>
        <w:rPr>
          <w:rFonts w:hint="eastAsia"/>
        </w:rPr>
        <w:t>GB/T 26388</w:t>
      </w:r>
      <w:r>
        <w:rPr>
          <w:rFonts w:hint="eastAsia"/>
        </w:rPr>
        <w:t>规定测定。</w:t>
      </w:r>
    </w:p>
    <w:p w14:paraId="1697AC48" w14:textId="77777777" w:rsidR="009D6B7A" w:rsidRDefault="00FF1B05">
      <w:pPr>
        <w:pStyle w:val="af2"/>
        <w:numPr>
          <w:ilvl w:val="0"/>
          <w:numId w:val="2"/>
        </w:numPr>
        <w:spacing w:before="156" w:after="156"/>
        <w:rPr>
          <w:bCs/>
        </w:rPr>
      </w:pPr>
      <w:r>
        <w:rPr>
          <w:rFonts w:hint="eastAsia"/>
          <w:bCs/>
        </w:rPr>
        <w:t>检验规则</w:t>
      </w:r>
    </w:p>
    <w:p w14:paraId="53B8F536" w14:textId="77777777" w:rsidR="009D6B7A" w:rsidRDefault="00FF1B05">
      <w:pPr>
        <w:rPr>
          <w:rFonts w:ascii="黑体" w:eastAsia="黑体" w:hAnsi="宋体"/>
        </w:rPr>
      </w:pPr>
      <w:r>
        <w:rPr>
          <w:rFonts w:ascii="黑体" w:eastAsia="黑体" w:hAnsi="宋体"/>
        </w:rPr>
        <w:t>7</w:t>
      </w:r>
      <w:r>
        <w:rPr>
          <w:rFonts w:ascii="黑体" w:eastAsia="黑体" w:hAnsi="宋体" w:hint="eastAsia"/>
        </w:rPr>
        <w:t>.1. 出厂检验</w:t>
      </w:r>
    </w:p>
    <w:p w14:paraId="79A3F527" w14:textId="77777777" w:rsidR="009D6B7A" w:rsidRDefault="00FF1B05">
      <w:pPr>
        <w:ind w:firstLineChars="200" w:firstLine="420"/>
        <w:rPr>
          <w:rFonts w:ascii="黑体" w:eastAsia="黑体" w:hAnsi="宋体"/>
        </w:rPr>
      </w:pPr>
      <w:r>
        <w:rPr>
          <w:rFonts w:hint="eastAsia"/>
        </w:rPr>
        <w:t>第</w:t>
      </w:r>
      <w:r>
        <w:rPr>
          <w:rFonts w:hint="eastAsia"/>
        </w:rPr>
        <w:t>4</w:t>
      </w:r>
      <w:r>
        <w:rPr>
          <w:rFonts w:hint="eastAsia"/>
        </w:rPr>
        <w:t>章要求中规定的各项指标，均为出厂检验项目。</w:t>
      </w:r>
    </w:p>
    <w:p w14:paraId="2200BF86" w14:textId="77777777" w:rsidR="009D6B7A" w:rsidRDefault="00FF1B05">
      <w:pPr>
        <w:pStyle w:val="aff8"/>
        <w:numPr>
          <w:ilvl w:val="1"/>
          <w:numId w:val="3"/>
        </w:numPr>
        <w:spacing w:beforeLines="50" w:before="156" w:afterLines="50" w:after="156"/>
        <w:ind w:firstLineChars="0"/>
        <w:rPr>
          <w:rFonts w:ascii="黑体" w:eastAsia="黑体"/>
          <w:bCs/>
        </w:rPr>
      </w:pPr>
      <w:r>
        <w:rPr>
          <w:rFonts w:ascii="黑体" w:eastAsia="黑体"/>
          <w:bCs/>
        </w:rPr>
        <w:t xml:space="preserve"> </w:t>
      </w:r>
      <w:proofErr w:type="gramStart"/>
      <w:r>
        <w:rPr>
          <w:rFonts w:ascii="黑体" w:eastAsia="黑体" w:hint="eastAsia"/>
          <w:bCs/>
        </w:rPr>
        <w:t>组批与</w:t>
      </w:r>
      <w:proofErr w:type="gramEnd"/>
      <w:r>
        <w:rPr>
          <w:rFonts w:ascii="黑体" w:eastAsia="黑体" w:hint="eastAsia"/>
          <w:bCs/>
        </w:rPr>
        <w:t>抽样规则</w:t>
      </w:r>
    </w:p>
    <w:p w14:paraId="11C02FF4" w14:textId="77777777" w:rsidR="009D6B7A" w:rsidRDefault="00FF1B05">
      <w:pPr>
        <w:rPr>
          <w:rFonts w:ascii="黑体" w:eastAsia="黑体" w:hAnsi="宋体"/>
        </w:rPr>
      </w:pPr>
      <w:r>
        <w:rPr>
          <w:rFonts w:ascii="黑体" w:eastAsia="黑体" w:hAnsi="宋体" w:hint="eastAsia"/>
        </w:rPr>
        <w:t>7</w:t>
      </w:r>
      <w:r>
        <w:rPr>
          <w:rFonts w:ascii="黑体" w:eastAsia="黑体" w:hAnsi="宋体"/>
        </w:rPr>
        <w:t>.2.1</w:t>
      </w:r>
      <w:r>
        <w:rPr>
          <w:rFonts w:ascii="黑体" w:eastAsia="黑体" w:hAnsi="宋体" w:hint="eastAsia"/>
        </w:rPr>
        <w:t>组批</w:t>
      </w:r>
    </w:p>
    <w:p w14:paraId="14FC66EE" w14:textId="77777777" w:rsidR="009D6B7A" w:rsidRDefault="00FF1B05">
      <w:pPr>
        <w:ind w:firstLine="435"/>
      </w:pPr>
      <w:r>
        <w:rPr>
          <w:rFonts w:hint="eastAsia"/>
        </w:rPr>
        <w:t>乙氧基化烷基硫酸钠产品以一次交付的同一类型、规格、批号的产品组成</w:t>
      </w:r>
      <w:proofErr w:type="gramStart"/>
      <w:r>
        <w:rPr>
          <w:rFonts w:hint="eastAsia"/>
        </w:rPr>
        <w:t>一</w:t>
      </w:r>
      <w:proofErr w:type="gramEnd"/>
      <w:r>
        <w:rPr>
          <w:rFonts w:hint="eastAsia"/>
        </w:rPr>
        <w:t>交付批。乙氧基化烷基硫酸钠产品，应由生产厂的质量检验部门按照本标准规定的试验方法检验合格，并签发质量合格证方可出厂。收货方凭产品质量检验证书验收，必要时按下述规定在一个月内抽样验收或仲裁。</w:t>
      </w:r>
    </w:p>
    <w:p w14:paraId="32057049" w14:textId="77777777" w:rsidR="009D6B7A" w:rsidRDefault="00FF1B05">
      <w:pPr>
        <w:rPr>
          <w:rFonts w:ascii="黑体" w:eastAsia="黑体" w:hAnsi="宋体"/>
        </w:rPr>
      </w:pPr>
      <w:r>
        <w:rPr>
          <w:rFonts w:ascii="黑体" w:eastAsia="黑体" w:hAnsi="宋体" w:hint="eastAsia"/>
        </w:rPr>
        <w:t>7</w:t>
      </w:r>
      <w:r>
        <w:rPr>
          <w:rFonts w:ascii="黑体" w:eastAsia="黑体" w:hAnsi="宋体"/>
        </w:rPr>
        <w:t>.2.2</w:t>
      </w:r>
      <w:r>
        <w:rPr>
          <w:rFonts w:ascii="黑体" w:eastAsia="黑体" w:hAnsi="宋体" w:hint="eastAsia"/>
        </w:rPr>
        <w:t>抽样</w:t>
      </w:r>
    </w:p>
    <w:p w14:paraId="15B1605D" w14:textId="77777777" w:rsidR="009D6B7A" w:rsidRDefault="00FF1B05">
      <w:pPr>
        <w:ind w:firstLineChars="200" w:firstLine="420"/>
      </w:pPr>
      <w:r>
        <w:rPr>
          <w:rFonts w:hint="eastAsia"/>
        </w:rPr>
        <w:t>桶装产品根据产品批量大小按表</w:t>
      </w:r>
      <w:r>
        <w:t>2</w:t>
      </w:r>
      <w:r>
        <w:rPr>
          <w:rFonts w:hint="eastAsia"/>
        </w:rPr>
        <w:t>确定样本大小，从批中随机抽取样本单位。</w:t>
      </w:r>
    </w:p>
    <w:p w14:paraId="50CA79F8" w14:textId="77777777" w:rsidR="009D6B7A" w:rsidRDefault="00FF1B05">
      <w:pPr>
        <w:jc w:val="center"/>
      </w:pPr>
      <w:r>
        <w:rPr>
          <w:rFonts w:hint="eastAsia"/>
        </w:rPr>
        <w:t>表</w:t>
      </w:r>
      <w:r>
        <w:t>2</w:t>
      </w:r>
      <w:r>
        <w:rPr>
          <w:rFonts w:hint="eastAsia"/>
        </w:rPr>
        <w:t xml:space="preserve"> </w:t>
      </w:r>
      <w:r>
        <w:rPr>
          <w:rFonts w:hint="eastAsia"/>
        </w:rPr>
        <w:t>桶装产品的批量和样本大小</w:t>
      </w:r>
    </w:p>
    <w:p w14:paraId="02B6030D" w14:textId="77777777" w:rsidR="009D6B7A" w:rsidRDefault="00FF1B05">
      <w:pPr>
        <w:jc w:val="right"/>
      </w:pPr>
      <w:r>
        <w:rPr>
          <w:rFonts w:hint="eastAsia"/>
        </w:rPr>
        <w:t>单位为桶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218"/>
        <w:gridCol w:w="1218"/>
        <w:gridCol w:w="1218"/>
        <w:gridCol w:w="1218"/>
        <w:gridCol w:w="1218"/>
      </w:tblGrid>
      <w:tr w:rsidR="009D6B7A" w14:paraId="0155D0EB" w14:textId="77777777">
        <w:trPr>
          <w:jc w:val="center"/>
        </w:trPr>
        <w:tc>
          <w:tcPr>
            <w:tcW w:w="2310" w:type="dxa"/>
            <w:vAlign w:val="center"/>
          </w:tcPr>
          <w:p w14:paraId="1B9FC90A" w14:textId="77777777" w:rsidR="009D6B7A" w:rsidRDefault="00FF1B05">
            <w:pPr>
              <w:ind w:left="-17"/>
              <w:jc w:val="center"/>
            </w:pPr>
            <w:r>
              <w:rPr>
                <w:rFonts w:hint="eastAsia"/>
              </w:rPr>
              <w:t>批量</w:t>
            </w:r>
          </w:p>
        </w:tc>
        <w:tc>
          <w:tcPr>
            <w:tcW w:w="1218" w:type="dxa"/>
            <w:vAlign w:val="center"/>
          </w:tcPr>
          <w:p w14:paraId="5BF04AC4" w14:textId="77777777" w:rsidR="009D6B7A" w:rsidRDefault="00FF1B05">
            <w:pPr>
              <w:ind w:left="-3"/>
              <w:jc w:val="center"/>
            </w:pPr>
            <w:r>
              <w:rPr>
                <w:rFonts w:ascii="宋体" w:hAnsi="宋体" w:hint="eastAsia"/>
              </w:rPr>
              <w:t>≤</w:t>
            </w:r>
            <w:r>
              <w:rPr>
                <w:rFonts w:hint="eastAsia"/>
              </w:rPr>
              <w:t>15</w:t>
            </w:r>
          </w:p>
        </w:tc>
        <w:tc>
          <w:tcPr>
            <w:tcW w:w="1218" w:type="dxa"/>
            <w:vAlign w:val="center"/>
          </w:tcPr>
          <w:p w14:paraId="2C7132A5" w14:textId="77777777" w:rsidR="009D6B7A" w:rsidRDefault="00FF1B05">
            <w:pPr>
              <w:jc w:val="center"/>
            </w:pPr>
            <w:r>
              <w:rPr>
                <w:rFonts w:hint="eastAsia"/>
              </w:rPr>
              <w:t>16~50</w:t>
            </w:r>
          </w:p>
        </w:tc>
        <w:tc>
          <w:tcPr>
            <w:tcW w:w="1218" w:type="dxa"/>
            <w:vAlign w:val="center"/>
          </w:tcPr>
          <w:p w14:paraId="0DB0BDEF" w14:textId="77777777" w:rsidR="009D6B7A" w:rsidRDefault="00FF1B05">
            <w:pPr>
              <w:ind w:leftChars="-9" w:left="-2" w:hangingChars="8" w:hanging="17"/>
              <w:jc w:val="center"/>
            </w:pPr>
            <w:r>
              <w:rPr>
                <w:rFonts w:hint="eastAsia"/>
              </w:rPr>
              <w:t>51~150</w:t>
            </w:r>
          </w:p>
        </w:tc>
        <w:tc>
          <w:tcPr>
            <w:tcW w:w="1218" w:type="dxa"/>
            <w:vAlign w:val="center"/>
          </w:tcPr>
          <w:p w14:paraId="50733312" w14:textId="77777777" w:rsidR="009D6B7A" w:rsidRDefault="00FF1B05">
            <w:pPr>
              <w:jc w:val="center"/>
            </w:pPr>
            <w:r>
              <w:rPr>
                <w:rFonts w:hint="eastAsia"/>
              </w:rPr>
              <w:t>151~500</w:t>
            </w:r>
          </w:p>
        </w:tc>
        <w:tc>
          <w:tcPr>
            <w:tcW w:w="1218" w:type="dxa"/>
            <w:vAlign w:val="center"/>
          </w:tcPr>
          <w:p w14:paraId="6E7B0AAF" w14:textId="77777777" w:rsidR="009D6B7A" w:rsidRDefault="00FF1B05">
            <w:pPr>
              <w:jc w:val="center"/>
            </w:pPr>
            <w:r>
              <w:rPr>
                <w:rFonts w:hint="eastAsia"/>
              </w:rPr>
              <w:t>&gt;500</w:t>
            </w:r>
          </w:p>
        </w:tc>
      </w:tr>
      <w:tr w:rsidR="009D6B7A" w14:paraId="1FB6E3A6" w14:textId="77777777">
        <w:trPr>
          <w:jc w:val="center"/>
        </w:trPr>
        <w:tc>
          <w:tcPr>
            <w:tcW w:w="2310" w:type="dxa"/>
            <w:vAlign w:val="center"/>
          </w:tcPr>
          <w:p w14:paraId="543C65DE" w14:textId="77777777" w:rsidR="009D6B7A" w:rsidRDefault="00FF1B05">
            <w:pPr>
              <w:jc w:val="center"/>
            </w:pPr>
            <w:r>
              <w:rPr>
                <w:rFonts w:hint="eastAsia"/>
              </w:rPr>
              <w:t>样本大小</w:t>
            </w:r>
          </w:p>
        </w:tc>
        <w:tc>
          <w:tcPr>
            <w:tcW w:w="1218" w:type="dxa"/>
            <w:vAlign w:val="center"/>
          </w:tcPr>
          <w:p w14:paraId="2C1CCCB8" w14:textId="77777777" w:rsidR="009D6B7A" w:rsidRDefault="00FF1B05">
            <w:pPr>
              <w:ind w:left="400"/>
            </w:pPr>
            <w:r>
              <w:rPr>
                <w:rFonts w:hint="eastAsia"/>
              </w:rPr>
              <w:t>2</w:t>
            </w:r>
          </w:p>
        </w:tc>
        <w:tc>
          <w:tcPr>
            <w:tcW w:w="1218" w:type="dxa"/>
            <w:vAlign w:val="center"/>
          </w:tcPr>
          <w:p w14:paraId="67E67054" w14:textId="77777777" w:rsidR="009D6B7A" w:rsidRDefault="00FF1B05">
            <w:pPr>
              <w:ind w:left="400"/>
            </w:pPr>
            <w:r>
              <w:rPr>
                <w:rFonts w:hint="eastAsia"/>
              </w:rPr>
              <w:t>3</w:t>
            </w:r>
          </w:p>
        </w:tc>
        <w:tc>
          <w:tcPr>
            <w:tcW w:w="1218" w:type="dxa"/>
            <w:vAlign w:val="center"/>
          </w:tcPr>
          <w:p w14:paraId="0E703D48" w14:textId="77777777" w:rsidR="009D6B7A" w:rsidRDefault="00FF1B05">
            <w:pPr>
              <w:ind w:left="400"/>
            </w:pPr>
            <w:r>
              <w:rPr>
                <w:rFonts w:hint="eastAsia"/>
              </w:rPr>
              <w:t>5</w:t>
            </w:r>
          </w:p>
        </w:tc>
        <w:tc>
          <w:tcPr>
            <w:tcW w:w="1218" w:type="dxa"/>
            <w:vAlign w:val="center"/>
          </w:tcPr>
          <w:p w14:paraId="02EBA2D1" w14:textId="77777777" w:rsidR="009D6B7A" w:rsidRDefault="00FF1B05">
            <w:pPr>
              <w:ind w:left="400"/>
            </w:pPr>
            <w:r>
              <w:rPr>
                <w:rFonts w:hint="eastAsia"/>
              </w:rPr>
              <w:t>8</w:t>
            </w:r>
          </w:p>
        </w:tc>
        <w:tc>
          <w:tcPr>
            <w:tcW w:w="1218" w:type="dxa"/>
            <w:vAlign w:val="center"/>
          </w:tcPr>
          <w:p w14:paraId="24D1CD1F" w14:textId="77777777" w:rsidR="009D6B7A" w:rsidRDefault="00FF1B05">
            <w:pPr>
              <w:ind w:left="400"/>
            </w:pPr>
            <w:r>
              <w:rPr>
                <w:rFonts w:hint="eastAsia"/>
              </w:rPr>
              <w:t>13</w:t>
            </w:r>
          </w:p>
        </w:tc>
      </w:tr>
    </w:tbl>
    <w:p w14:paraId="4648296D" w14:textId="77777777" w:rsidR="009D6B7A" w:rsidRDefault="00FF1B05">
      <w:pPr>
        <w:ind w:firstLine="420"/>
      </w:pPr>
      <w:r>
        <w:rPr>
          <w:rFonts w:hint="eastAsia"/>
        </w:rPr>
        <w:t>对桶装产品，取样时用洁净干燥的玻璃管或其他取样器插入样本单位中间部位，从</w:t>
      </w:r>
      <w:proofErr w:type="gramStart"/>
      <w:r>
        <w:rPr>
          <w:rFonts w:hint="eastAsia"/>
        </w:rPr>
        <w:t>各样本桶中</w:t>
      </w:r>
      <w:proofErr w:type="gramEnd"/>
      <w:r>
        <w:rPr>
          <w:rFonts w:hint="eastAsia"/>
        </w:rPr>
        <w:t>采取等量样品。</w:t>
      </w:r>
    </w:p>
    <w:p w14:paraId="596A176F" w14:textId="77777777" w:rsidR="009D6B7A" w:rsidRDefault="00FF1B05">
      <w:pPr>
        <w:ind w:firstLineChars="200" w:firstLine="420"/>
        <w:rPr>
          <w:rFonts w:ascii="宋体" w:hAnsi="宋体"/>
          <w:bCs/>
        </w:rPr>
      </w:pPr>
      <w:r>
        <w:rPr>
          <w:rFonts w:ascii="宋体" w:hAnsi="宋体" w:hint="eastAsia"/>
          <w:bCs/>
        </w:rPr>
        <w:t>罐（车、船）装产品，以1罐（车、船）为一个样本单位。</w:t>
      </w:r>
    </w:p>
    <w:p w14:paraId="5611D92F" w14:textId="77777777" w:rsidR="009D6B7A" w:rsidRDefault="00FF1B05">
      <w:pPr>
        <w:ind w:firstLine="420"/>
      </w:pPr>
      <w:r>
        <w:rPr>
          <w:rFonts w:ascii="宋体" w:hAnsi="宋体" w:hint="eastAsia"/>
        </w:rPr>
        <w:t>对于横截面均匀一致的罐、车和船，采用等量合并从罐（车、船）的顶液面到罐（车、船）的底液面的高度的上、中、下液面处所采取试样组合而成的方法，用取样器进行取样。</w:t>
      </w:r>
    </w:p>
    <w:p w14:paraId="05C5D471" w14:textId="77777777" w:rsidR="009D6B7A" w:rsidRDefault="00FF1B05">
      <w:pPr>
        <w:ind w:firstLineChars="200" w:firstLine="420"/>
        <w:rPr>
          <w:rFonts w:ascii="黑体" w:eastAsia="黑体"/>
          <w:bCs/>
        </w:rPr>
      </w:pPr>
      <w:r>
        <w:rPr>
          <w:rFonts w:hint="eastAsia"/>
        </w:rPr>
        <w:t>取样总量约</w:t>
      </w:r>
      <w:r>
        <w:rPr>
          <w:rFonts w:hint="eastAsia"/>
        </w:rPr>
        <w:t>500</w:t>
      </w:r>
      <w:r>
        <w:t>g</w:t>
      </w:r>
      <w:r>
        <w:rPr>
          <w:rFonts w:hint="eastAsia"/>
        </w:rPr>
        <w:t>，分成两份。一份用于检测，一份封存备用。</w:t>
      </w:r>
    </w:p>
    <w:p w14:paraId="1173A9E7" w14:textId="77777777" w:rsidR="009D6B7A" w:rsidRDefault="00FF1B05">
      <w:pPr>
        <w:spacing w:beforeLines="50" w:before="156" w:afterLines="50" w:after="156"/>
        <w:rPr>
          <w:rFonts w:ascii="黑体" w:eastAsia="黑体"/>
          <w:bCs/>
        </w:rPr>
      </w:pPr>
      <w:r>
        <w:rPr>
          <w:rFonts w:ascii="黑体" w:eastAsia="黑体"/>
          <w:bCs/>
        </w:rPr>
        <w:t>7</w:t>
      </w:r>
      <w:r>
        <w:rPr>
          <w:rFonts w:ascii="黑体" w:eastAsia="黑体" w:hint="eastAsia"/>
          <w:bCs/>
        </w:rPr>
        <w:t>.3  判定规则</w:t>
      </w:r>
    </w:p>
    <w:p w14:paraId="1D49B4E6" w14:textId="77777777" w:rsidR="009D6B7A" w:rsidRDefault="00FF1B05">
      <w:pPr>
        <w:pStyle w:val="a6"/>
        <w:spacing w:line="240" w:lineRule="auto"/>
        <w:ind w:firstLine="420"/>
      </w:pPr>
      <w:r>
        <w:rPr>
          <w:rFonts w:hint="eastAsia"/>
        </w:rPr>
        <w:t>检验结果按</w:t>
      </w:r>
      <w:r>
        <w:rPr>
          <w:rFonts w:hint="eastAsia"/>
        </w:rPr>
        <w:t>GB/T 8170</w:t>
      </w:r>
      <w:r>
        <w:rPr>
          <w:rFonts w:hint="eastAsia"/>
        </w:rPr>
        <w:t>修约值比较法判定产品合格或不合格，若有一项或多项指标不符合本标准的规定，应再从交付批中加倍取样，并对不合格项进行复检，如复检结果符合本标准规定，则判该批产品合格；如仍不合格，则判该批产品不合格。</w:t>
      </w:r>
    </w:p>
    <w:p w14:paraId="2FAD94F3" w14:textId="77777777" w:rsidR="009D6B7A" w:rsidRDefault="00FF1B05">
      <w:pPr>
        <w:spacing w:beforeLines="50" w:before="156" w:afterLines="50" w:after="156"/>
        <w:rPr>
          <w:rFonts w:ascii="黑体" w:eastAsia="黑体"/>
          <w:bCs/>
        </w:rPr>
      </w:pPr>
      <w:r>
        <w:rPr>
          <w:rFonts w:ascii="黑体" w:eastAsia="黑体"/>
          <w:bCs/>
        </w:rPr>
        <w:t>7</w:t>
      </w:r>
      <w:r>
        <w:rPr>
          <w:rFonts w:ascii="黑体" w:eastAsia="黑体" w:hint="eastAsia"/>
          <w:bCs/>
        </w:rPr>
        <w:t>.4  产品质量检验合格证书</w:t>
      </w:r>
    </w:p>
    <w:p w14:paraId="31380D5D" w14:textId="77777777" w:rsidR="009D6B7A" w:rsidRDefault="00FF1B05">
      <w:pPr>
        <w:pStyle w:val="ae"/>
        <w:ind w:firstLine="420"/>
      </w:pPr>
      <w:r>
        <w:rPr>
          <w:rFonts w:hAnsi="宋体" w:hint="eastAsia"/>
        </w:rPr>
        <w:t>产品质量检验合格证书</w:t>
      </w:r>
      <w:r>
        <w:rPr>
          <w:rFonts w:hint="eastAsia"/>
        </w:rPr>
        <w:t>应包括：生产厂家名称、厂址、产品名称、执行标准编号、批号、批量、质量指标（包括平均相对分子质量）、生产日期等。</w:t>
      </w:r>
      <w:r>
        <w:rPr>
          <w:rFonts w:hint="eastAsia"/>
          <w:color w:val="000000"/>
        </w:rPr>
        <w:t>收货方凭产品质量检验合格证书验收。</w:t>
      </w:r>
    </w:p>
    <w:p w14:paraId="4E656F84" w14:textId="77777777" w:rsidR="009D6B7A" w:rsidRDefault="00FF1B05">
      <w:pPr>
        <w:spacing w:beforeLines="50" w:before="156" w:afterLines="50" w:after="156"/>
        <w:rPr>
          <w:rFonts w:ascii="黑体" w:eastAsia="黑体"/>
          <w:bCs/>
        </w:rPr>
      </w:pPr>
      <w:r>
        <w:rPr>
          <w:rFonts w:ascii="黑体" w:eastAsia="黑体"/>
          <w:bCs/>
        </w:rPr>
        <w:t>7</w:t>
      </w:r>
      <w:r>
        <w:rPr>
          <w:rFonts w:ascii="黑体" w:eastAsia="黑体" w:hint="eastAsia"/>
          <w:bCs/>
        </w:rPr>
        <w:t>.5  仲裁</w:t>
      </w:r>
    </w:p>
    <w:p w14:paraId="247406C7" w14:textId="77777777" w:rsidR="009D6B7A" w:rsidRDefault="00FF1B05">
      <w:pPr>
        <w:ind w:firstLine="570"/>
      </w:pPr>
      <w:r>
        <w:rPr>
          <w:rFonts w:hint="eastAsia"/>
        </w:rPr>
        <w:t>收货单位如发现产品质量不符合本标准规定的要求，应在到货一个月内向生产厂交涉。如有异议，会同双方按</w:t>
      </w:r>
      <w:r>
        <w:t>7</w:t>
      </w:r>
      <w:r>
        <w:rPr>
          <w:rFonts w:hint="eastAsia"/>
        </w:rPr>
        <w:t>.2.2</w:t>
      </w:r>
      <w:r>
        <w:rPr>
          <w:rFonts w:hint="eastAsia"/>
        </w:rPr>
        <w:t>抽样。取样量不少于</w:t>
      </w:r>
      <w:r>
        <w:rPr>
          <w:rFonts w:hint="eastAsia"/>
        </w:rPr>
        <w:t>1.5kg</w:t>
      </w:r>
      <w:r>
        <w:rPr>
          <w:rFonts w:hint="eastAsia"/>
        </w:rPr>
        <w:t>，样品混匀后分装于三个干燥清洁的样品瓶内，加盖密封，贴上标签，并注明：样品名称、批号、生产单位、取样日期和取样人，交收双方各持一瓶，另一瓶签封后，可商请有关法定质量检验单位进行仲裁检验。样品应存放于暗处，保存期一个月。仲裁检验结果为最终依据。</w:t>
      </w:r>
    </w:p>
    <w:p w14:paraId="1234C262" w14:textId="77777777" w:rsidR="009D6B7A" w:rsidRDefault="00FF1B05">
      <w:pPr>
        <w:pStyle w:val="af2"/>
        <w:numPr>
          <w:ilvl w:val="0"/>
          <w:numId w:val="2"/>
        </w:numPr>
        <w:spacing w:before="156" w:after="156"/>
        <w:rPr>
          <w:bCs/>
        </w:rPr>
      </w:pPr>
      <w:r>
        <w:rPr>
          <w:rFonts w:hint="eastAsia"/>
          <w:bCs/>
        </w:rPr>
        <w:lastRenderedPageBreak/>
        <w:t>标志、包装、运输、贮存和保质期</w:t>
      </w:r>
    </w:p>
    <w:p w14:paraId="0D11E506" w14:textId="77777777" w:rsidR="009D6B7A" w:rsidRDefault="00FF1B05">
      <w:pPr>
        <w:spacing w:beforeLines="50" w:before="156" w:afterLines="50" w:after="156"/>
        <w:rPr>
          <w:rFonts w:ascii="黑体" w:eastAsia="黑体"/>
          <w:bCs/>
        </w:rPr>
      </w:pPr>
      <w:r>
        <w:rPr>
          <w:rFonts w:ascii="黑体" w:eastAsia="黑体"/>
          <w:bCs/>
        </w:rPr>
        <w:t>8</w:t>
      </w:r>
      <w:r>
        <w:rPr>
          <w:rFonts w:ascii="黑体" w:eastAsia="黑体" w:hint="eastAsia"/>
          <w:bCs/>
        </w:rPr>
        <w:t>.1  标志</w:t>
      </w:r>
    </w:p>
    <w:p w14:paraId="028BCC3C" w14:textId="77777777" w:rsidR="009D6B7A" w:rsidRDefault="00FF1B05">
      <w:pPr>
        <w:ind w:firstLine="570"/>
        <w:rPr>
          <w:rFonts w:ascii="宋体" w:hAnsi="宋体"/>
        </w:rPr>
      </w:pPr>
      <w:r>
        <w:rPr>
          <w:rFonts w:ascii="宋体" w:hAnsi="宋体" w:hint="eastAsia"/>
        </w:rPr>
        <w:t>产品的包装容器外印刷的标志（图案及文字）应清晰、</w:t>
      </w:r>
      <w:proofErr w:type="gramStart"/>
      <w:r>
        <w:rPr>
          <w:rFonts w:ascii="宋体" w:hAnsi="宋体" w:hint="eastAsia"/>
        </w:rPr>
        <w:t>不</w:t>
      </w:r>
      <w:proofErr w:type="gramEnd"/>
      <w:r>
        <w:rPr>
          <w:rFonts w:ascii="宋体" w:hAnsi="宋体" w:hint="eastAsia"/>
        </w:rPr>
        <w:t>脱色，并标明：</w:t>
      </w:r>
    </w:p>
    <w:p w14:paraId="4826BDFD" w14:textId="77777777" w:rsidR="009D6B7A" w:rsidRDefault="00FF1B05">
      <w:pPr>
        <w:numPr>
          <w:ilvl w:val="0"/>
          <w:numId w:val="4"/>
        </w:numPr>
        <w:rPr>
          <w:rFonts w:ascii="宋体" w:hAnsi="宋体"/>
        </w:rPr>
      </w:pPr>
      <w:r>
        <w:rPr>
          <w:rFonts w:ascii="宋体" w:hAnsi="宋体" w:hint="eastAsia"/>
        </w:rPr>
        <w:t>产品名称、商标、执行标准编号；</w:t>
      </w:r>
    </w:p>
    <w:p w14:paraId="1153627D" w14:textId="77777777" w:rsidR="009D6B7A" w:rsidRDefault="00FF1B05">
      <w:pPr>
        <w:numPr>
          <w:ilvl w:val="0"/>
          <w:numId w:val="4"/>
        </w:numPr>
      </w:pPr>
      <w:r>
        <w:rPr>
          <w:rFonts w:ascii="宋体" w:hAnsi="宋体" w:hint="eastAsia"/>
        </w:rPr>
        <w:t>生产日期或生产批号；</w:t>
      </w:r>
    </w:p>
    <w:p w14:paraId="46F61C24" w14:textId="77777777" w:rsidR="009D6B7A" w:rsidRDefault="00FF1B05">
      <w:pPr>
        <w:numPr>
          <w:ilvl w:val="0"/>
          <w:numId w:val="4"/>
        </w:numPr>
      </w:pPr>
      <w:r>
        <w:rPr>
          <w:rFonts w:ascii="宋体" w:hAnsi="宋体" w:hint="eastAsia"/>
        </w:rPr>
        <w:t>净含量；</w:t>
      </w:r>
    </w:p>
    <w:p w14:paraId="6AA27CE6" w14:textId="77777777" w:rsidR="009D6B7A" w:rsidRDefault="00FF1B05">
      <w:pPr>
        <w:numPr>
          <w:ilvl w:val="0"/>
          <w:numId w:val="4"/>
        </w:numPr>
      </w:pPr>
      <w:r>
        <w:rPr>
          <w:rFonts w:ascii="宋体" w:hAnsi="宋体" w:hint="eastAsia"/>
        </w:rPr>
        <w:t>生产厂家名称、地址（含省、市、县）、邮政编码；</w:t>
      </w:r>
    </w:p>
    <w:p w14:paraId="769E6C00" w14:textId="77777777" w:rsidR="009D6B7A" w:rsidRDefault="00FF1B05">
      <w:pPr>
        <w:numPr>
          <w:ilvl w:val="0"/>
          <w:numId w:val="4"/>
        </w:numPr>
      </w:pPr>
      <w:r>
        <w:rPr>
          <w:rFonts w:ascii="宋体" w:hAnsi="宋体" w:hint="eastAsia"/>
        </w:rPr>
        <w:t>有防雨、防水、小心轻放等文字或标记。</w:t>
      </w:r>
    </w:p>
    <w:p w14:paraId="36A24425" w14:textId="77777777" w:rsidR="009D6B7A" w:rsidRDefault="00FF1B05">
      <w:pPr>
        <w:spacing w:beforeLines="50" w:before="156" w:afterLines="50" w:after="156"/>
        <w:rPr>
          <w:rFonts w:ascii="黑体" w:eastAsia="黑体"/>
          <w:bCs/>
        </w:rPr>
      </w:pPr>
      <w:r>
        <w:rPr>
          <w:rFonts w:ascii="黑体" w:eastAsia="黑体"/>
          <w:bCs/>
        </w:rPr>
        <w:t>8</w:t>
      </w:r>
      <w:r>
        <w:rPr>
          <w:rFonts w:ascii="黑体" w:eastAsia="黑体" w:hint="eastAsia"/>
          <w:bCs/>
        </w:rPr>
        <w:t>.2  包装</w:t>
      </w:r>
    </w:p>
    <w:p w14:paraId="0A1D1AEF" w14:textId="77777777" w:rsidR="009D6B7A" w:rsidRDefault="00FF1B05">
      <w:pPr>
        <w:ind w:firstLine="420"/>
      </w:pPr>
      <w:r>
        <w:rPr>
          <w:rFonts w:hint="eastAsia"/>
        </w:rPr>
        <w:t>产品应使用清洁的内衬塑料袋的塑料桶或不影响产品质量的容器包装，或使用清洁的、不影响产品质量的罐（车、船）包装。</w:t>
      </w:r>
    </w:p>
    <w:p w14:paraId="199EEDFC" w14:textId="77777777" w:rsidR="009D6B7A" w:rsidRDefault="00FF1B05">
      <w:pPr>
        <w:ind w:firstLine="420"/>
      </w:pPr>
      <w:r>
        <w:rPr>
          <w:rFonts w:hint="eastAsia"/>
        </w:rPr>
        <w:t>产品装入容器应根据气温变化留有空隙，灌装后应封口良好，防止渗水，包装的净重应符合标称质量。</w:t>
      </w:r>
    </w:p>
    <w:p w14:paraId="011CA801" w14:textId="77777777" w:rsidR="009D6B7A" w:rsidRDefault="00FF1B05">
      <w:pPr>
        <w:spacing w:beforeLines="50" w:before="156" w:afterLines="50" w:after="156"/>
        <w:rPr>
          <w:rFonts w:ascii="黑体" w:eastAsia="黑体"/>
          <w:bCs/>
        </w:rPr>
      </w:pPr>
      <w:r>
        <w:rPr>
          <w:rFonts w:ascii="黑体" w:eastAsia="黑体"/>
          <w:bCs/>
        </w:rPr>
        <w:t>8</w:t>
      </w:r>
      <w:r>
        <w:rPr>
          <w:rFonts w:ascii="黑体" w:eastAsia="黑体" w:hint="eastAsia"/>
          <w:bCs/>
        </w:rPr>
        <w:t>.3  运输</w:t>
      </w:r>
    </w:p>
    <w:p w14:paraId="4365DE78" w14:textId="77777777" w:rsidR="009D6B7A" w:rsidRDefault="00FF1B05">
      <w:pPr>
        <w:ind w:firstLineChars="200" w:firstLine="420"/>
      </w:pPr>
      <w:r>
        <w:rPr>
          <w:rFonts w:hint="eastAsia"/>
        </w:rPr>
        <w:t>桶或容器包装产品在运输时应竖放，盖口朝上，加有遮盖物，防雨、防晒、防潮，轻装轻卸，避免包装损坏；</w:t>
      </w:r>
    </w:p>
    <w:p w14:paraId="36146C99" w14:textId="77777777" w:rsidR="009D6B7A" w:rsidRDefault="00FF1B05">
      <w:pPr>
        <w:ind w:firstLineChars="200" w:firstLine="420"/>
      </w:pPr>
      <w:r>
        <w:rPr>
          <w:rFonts w:hint="eastAsia"/>
        </w:rPr>
        <w:t>罐（车、船）在运输时，罐体应带防护，带有保温或夹套，避免高温暴晒、低温凝固。</w:t>
      </w:r>
    </w:p>
    <w:p w14:paraId="48970811" w14:textId="77777777" w:rsidR="009D6B7A" w:rsidRDefault="00FF1B05">
      <w:pPr>
        <w:spacing w:beforeLines="50" w:before="156" w:afterLines="50" w:after="156"/>
        <w:rPr>
          <w:rFonts w:ascii="黑体" w:eastAsia="黑体"/>
          <w:bCs/>
        </w:rPr>
      </w:pPr>
      <w:r>
        <w:rPr>
          <w:rFonts w:ascii="黑体" w:eastAsia="黑体"/>
          <w:bCs/>
        </w:rPr>
        <w:t>8</w:t>
      </w:r>
      <w:r>
        <w:rPr>
          <w:rFonts w:ascii="黑体" w:eastAsia="黑体" w:hint="eastAsia"/>
          <w:bCs/>
        </w:rPr>
        <w:t>.4  贮存</w:t>
      </w:r>
    </w:p>
    <w:p w14:paraId="651D4FE3" w14:textId="77777777" w:rsidR="009D6B7A" w:rsidRDefault="00FF1B05">
      <w:pPr>
        <w:ind w:firstLineChars="200" w:firstLine="420"/>
      </w:pPr>
      <w:r>
        <w:rPr>
          <w:rFonts w:hint="eastAsia"/>
        </w:rPr>
        <w:t>桶装产品应贮存于干燥、通风条件好的库房，室外存放应有相应的遮阳、防雨措施；</w:t>
      </w:r>
    </w:p>
    <w:p w14:paraId="308E9DE5" w14:textId="77777777" w:rsidR="009D6B7A" w:rsidRDefault="00FF1B05">
      <w:pPr>
        <w:ind w:firstLineChars="200" w:firstLine="420"/>
      </w:pPr>
      <w:r>
        <w:rPr>
          <w:rFonts w:hint="eastAsia"/>
        </w:rPr>
        <w:t>罐装产品应贮存于</w:t>
      </w:r>
      <w:r>
        <w:rPr>
          <w:rFonts w:hint="eastAsia"/>
        </w:rPr>
        <w:t>20</w:t>
      </w:r>
      <w:r>
        <w:rPr>
          <w:rFonts w:hint="eastAsia"/>
        </w:rPr>
        <w:t>℃</w:t>
      </w:r>
      <w:r>
        <w:rPr>
          <w:rFonts w:hint="eastAsia"/>
        </w:rPr>
        <w:t>~50</w:t>
      </w:r>
      <w:r>
        <w:rPr>
          <w:rFonts w:hint="eastAsia"/>
        </w:rPr>
        <w:t>℃的罐（车、船）内；</w:t>
      </w:r>
    </w:p>
    <w:p w14:paraId="6A4C1947" w14:textId="77777777" w:rsidR="009D6B7A" w:rsidRDefault="00FF1B05">
      <w:pPr>
        <w:ind w:firstLineChars="200" w:firstLine="420"/>
      </w:pPr>
      <w:r>
        <w:rPr>
          <w:rFonts w:hint="eastAsia"/>
        </w:rPr>
        <w:t>低温凝固产品可使用</w:t>
      </w:r>
      <w:r>
        <w:rPr>
          <w:rFonts w:hint="eastAsia"/>
        </w:rPr>
        <w:t>60</w:t>
      </w:r>
      <w:r>
        <w:rPr>
          <w:rFonts w:hint="eastAsia"/>
        </w:rPr>
        <w:t>℃以内烘房、热水等加热熔融，加热时间不超过</w:t>
      </w:r>
      <w:r>
        <w:rPr>
          <w:rFonts w:hint="eastAsia"/>
        </w:rPr>
        <w:t>72h</w:t>
      </w:r>
      <w:r>
        <w:rPr>
          <w:rFonts w:hint="eastAsia"/>
        </w:rPr>
        <w:t>，应避免局部过热分解。</w:t>
      </w:r>
    </w:p>
    <w:p w14:paraId="0472B6C0" w14:textId="77777777" w:rsidR="009D6B7A" w:rsidRDefault="00FF1B05">
      <w:pPr>
        <w:spacing w:beforeLines="50" w:before="156" w:afterLines="50" w:after="156"/>
        <w:rPr>
          <w:rFonts w:ascii="黑体" w:eastAsia="黑体"/>
          <w:bCs/>
        </w:rPr>
      </w:pPr>
      <w:r>
        <w:rPr>
          <w:rFonts w:ascii="黑体" w:eastAsia="黑体"/>
          <w:bCs/>
        </w:rPr>
        <w:t>8</w:t>
      </w:r>
      <w:r>
        <w:rPr>
          <w:rFonts w:ascii="黑体" w:eastAsia="黑体" w:hint="eastAsia"/>
          <w:bCs/>
        </w:rPr>
        <w:t>.5  保质期</w:t>
      </w:r>
    </w:p>
    <w:p w14:paraId="3FD9A430" w14:textId="77777777" w:rsidR="009D6B7A" w:rsidRDefault="00FF1B05">
      <w:pPr>
        <w:spacing w:beforeLines="50" w:before="156"/>
        <w:ind w:firstLineChars="200" w:firstLine="420"/>
      </w:pPr>
      <w:r>
        <w:rPr>
          <w:rFonts w:ascii="宋体" w:hAnsi="宋体" w:hint="eastAsia"/>
          <w:bCs/>
        </w:rPr>
        <w:t>在</w:t>
      </w:r>
      <w:r>
        <w:rPr>
          <w:rFonts w:ascii="宋体" w:hAnsi="宋体" w:hint="eastAsia"/>
        </w:rPr>
        <w:t>文件</w:t>
      </w:r>
      <w:r>
        <w:rPr>
          <w:rFonts w:hint="eastAsia"/>
        </w:rPr>
        <w:t>规定的运输和贮存条件下，在包装完整未经启封的情况下，从生产之日起保质两年及两年以上的产品，可不标注保质期；只能在两年内符合本文件的产品应标注保质期。</w:t>
      </w:r>
    </w:p>
    <w:p w14:paraId="1B7CA75F" w14:textId="77777777" w:rsidR="009D6B7A" w:rsidRDefault="00FF1B05">
      <w:pPr>
        <w:ind w:firstLineChars="200" w:firstLine="420"/>
      </w:pPr>
      <w:r>
        <w:rPr>
          <w:rFonts w:hint="eastAsia"/>
        </w:rPr>
        <w:t>罐装产品在本文件规定的运输和贮存条件下，保质期为半年。</w:t>
      </w:r>
    </w:p>
    <w:p w14:paraId="182DAA80" w14:textId="32CDACE6" w:rsidR="009D6B7A" w:rsidRDefault="009D6B7A">
      <w:pPr>
        <w:jc w:val="center"/>
      </w:pPr>
    </w:p>
    <w:p w14:paraId="2AF2B2D0" w14:textId="176EB498" w:rsidR="009D6B7A" w:rsidRDefault="00891A5A">
      <w:pPr>
        <w:jc w:val="center"/>
      </w:pPr>
      <w:r>
        <w:rPr>
          <w:noProof/>
        </w:rPr>
        <mc:AlternateContent>
          <mc:Choice Requires="wps">
            <w:drawing>
              <wp:anchor distT="0" distB="0" distL="114300" distR="114300" simplePos="0" relativeHeight="251663360" behindDoc="0" locked="0" layoutInCell="1" allowOverlap="1" wp14:anchorId="117F4201" wp14:editId="0D12F82C">
                <wp:simplePos x="0" y="0"/>
                <wp:positionH relativeFrom="margin">
                  <wp:align>center</wp:align>
                </wp:positionH>
                <wp:positionV relativeFrom="paragraph">
                  <wp:posOffset>511175</wp:posOffset>
                </wp:positionV>
                <wp:extent cx="1149985" cy="11430"/>
                <wp:effectExtent l="0" t="0" r="31115" b="26670"/>
                <wp:wrapNone/>
                <wp:docPr id="1" name="直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9985" cy="11430"/>
                        </a:xfrm>
                        <a:prstGeom prst="line">
                          <a:avLst/>
                        </a:prstGeom>
                        <a:noFill/>
                        <a:ln w="19050">
                          <a:solidFill>
                            <a:srgbClr val="000000"/>
                          </a:solidFill>
                          <a:round/>
                        </a:ln>
                      </wps:spPr>
                      <wps:bodyPr/>
                    </wps:wsp>
                  </a:graphicData>
                </a:graphic>
              </wp:anchor>
            </w:drawing>
          </mc:Choice>
          <mc:Fallback>
            <w:pict>
              <v:line w14:anchorId="71E90E50" id="直线 17" o:spid="_x0000_s1026" style="position:absolute;left:0;text-align:left;flip:y;z-index:251663360;visibility:visible;mso-wrap-style:square;mso-wrap-distance-left:9pt;mso-wrap-distance-top:0;mso-wrap-distance-right:9pt;mso-wrap-distance-bottom:0;mso-position-horizontal:center;mso-position-horizontal-relative:margin;mso-position-vertical:absolute;mso-position-vertical-relative:text" from="0,40.25pt" to="90.5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" strokeweight="1.5pt">
                <w10:wrap anchorx="margin"/>
              </v:line>
            </w:pict>
          </mc:Fallback>
        </mc:AlternateContent>
      </w:r>
    </w:p>
    <w:sectPr w:rsidR="009D6B7A">
      <w:headerReference w:type="default" r:id="rId22"/>
      <w:footerReference w:type="first" r:id="rId23"/>
      <w:pgSz w:w="11906" w:h="16838"/>
      <w:pgMar w:top="1418" w:right="1418" w:bottom="1418" w:left="1418" w:header="851" w:footer="851"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18F3" w14:textId="77777777" w:rsidR="002B49A4" w:rsidRDefault="002B49A4">
      <w:r>
        <w:separator/>
      </w:r>
    </w:p>
  </w:endnote>
  <w:endnote w:type="continuationSeparator" w:id="0">
    <w:p w14:paraId="7EEFE8FB" w14:textId="77777777" w:rsidR="002B49A4" w:rsidRDefault="002B4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867C2" w14:textId="77777777" w:rsidR="009D6B7A" w:rsidRDefault="00FF1B05">
    <w:pPr>
      <w:pStyle w:val="aff6"/>
      <w:rPr>
        <w:rStyle w:val="ac"/>
      </w:rPr>
    </w:pPr>
    <w:r>
      <w:fldChar w:fldCharType="begin"/>
    </w:r>
    <w:r>
      <w:rPr>
        <w:rStyle w:val="ac"/>
      </w:rPr>
      <w:instrText xml:space="preserve">PAGE  </w:instrText>
    </w:r>
    <w:r>
      <w:fldChar w:fldCharType="separate"/>
    </w:r>
    <w:r>
      <w:rPr>
        <w:rStyle w:val="ac"/>
      </w:rPr>
      <w:t>60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2FCE7" w14:textId="77777777" w:rsidR="009D6B7A" w:rsidRDefault="00FF1B05">
    <w:pPr>
      <w:pStyle w:val="a8"/>
      <w:framePr w:wrap="around" w:vAnchor="text" w:hAnchor="margin" w:xAlign="outside" w:y="1"/>
      <w:rPr>
        <w:rStyle w:val="ac"/>
      </w:rPr>
    </w:pPr>
    <w:r>
      <w:fldChar w:fldCharType="begin"/>
    </w:r>
    <w:r>
      <w:rPr>
        <w:rStyle w:val="ac"/>
      </w:rPr>
      <w:instrText xml:space="preserve">PAGE  </w:instrText>
    </w:r>
    <w:r>
      <w:fldChar w:fldCharType="separate"/>
    </w:r>
    <w:r>
      <w:rPr>
        <w:rStyle w:val="ac"/>
      </w:rPr>
      <w:t>2</w:t>
    </w:r>
    <w:r>
      <w:fldChar w:fldCharType="end"/>
    </w:r>
  </w:p>
  <w:p w14:paraId="449CF54C" w14:textId="77777777" w:rsidR="009D6B7A" w:rsidRDefault="009D6B7A">
    <w:pPr>
      <w:pStyle w:val="aff4"/>
      <w:ind w:right="360" w:firstLine="360"/>
      <w:rPr>
        <w:rStyle w:val="a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50FDD" w14:textId="77777777" w:rsidR="009D6B7A" w:rsidRDefault="009D6B7A">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4E14B" w14:textId="77777777" w:rsidR="009D6B7A" w:rsidRDefault="00FF1B05">
    <w:pPr>
      <w:pStyle w:val="a8"/>
      <w:framePr w:wrap="around" w:vAnchor="text" w:hAnchor="margin" w:xAlign="outside" w:y="1"/>
      <w:rPr>
        <w:rStyle w:val="ac"/>
      </w:rPr>
    </w:pPr>
    <w:r>
      <w:fldChar w:fldCharType="begin"/>
    </w:r>
    <w:r>
      <w:rPr>
        <w:rStyle w:val="ac"/>
      </w:rPr>
      <w:instrText xml:space="preserve">PAGE  </w:instrText>
    </w:r>
    <w:r>
      <w:fldChar w:fldCharType="separate"/>
    </w:r>
    <w:r>
      <w:rPr>
        <w:rStyle w:val="ac"/>
      </w:rPr>
      <w:t>6</w:t>
    </w:r>
    <w:r>
      <w:fldChar w:fldCharType="end"/>
    </w:r>
  </w:p>
  <w:p w14:paraId="2713F608" w14:textId="77777777" w:rsidR="009D6B7A" w:rsidRDefault="009D6B7A">
    <w:pPr>
      <w:pStyle w:val="aff4"/>
      <w:ind w:right="360" w:firstLine="360"/>
      <w:jc w:val="both"/>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668E3" w14:textId="77777777" w:rsidR="009D6B7A" w:rsidRDefault="009D6B7A">
    <w:pPr>
      <w:pStyle w:val="a8"/>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0FEB" w14:textId="77777777" w:rsidR="009D6B7A" w:rsidRDefault="00FF1B05">
    <w:pPr>
      <w:pStyle w:val="aff4"/>
    </w:pPr>
    <w:r>
      <w:rPr>
        <w:rFonts w:hint="eastAsia"/>
      </w:rPr>
      <w:t>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709DD" w14:textId="77777777" w:rsidR="002B49A4" w:rsidRDefault="002B49A4">
      <w:r>
        <w:separator/>
      </w:r>
    </w:p>
  </w:footnote>
  <w:footnote w:type="continuationSeparator" w:id="0">
    <w:p w14:paraId="1DA0533B" w14:textId="77777777" w:rsidR="002B49A4" w:rsidRDefault="002B4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F8A0" w14:textId="77777777" w:rsidR="009D6B7A" w:rsidRDefault="00FF1B05">
    <w:pPr>
      <w:pStyle w:val="afe"/>
    </w:pPr>
    <w:r>
      <w:t>GB/T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BCDBF" w14:textId="77777777" w:rsidR="009D6B7A" w:rsidRDefault="009D6B7A">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E54D" w14:textId="77777777" w:rsidR="009D6B7A" w:rsidRDefault="009D6B7A">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2862" w14:textId="77777777" w:rsidR="009D6B7A" w:rsidRDefault="00FF1B05">
    <w:pPr>
      <w:pStyle w:val="afe"/>
    </w:pPr>
    <w:r>
      <w:t>GB/T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9273" w14:textId="77777777" w:rsidR="009D6B7A" w:rsidRDefault="00FF1B05">
    <w:pPr>
      <w:pStyle w:val="afe"/>
      <w:jc w:val="right"/>
    </w:pPr>
    <w:r>
      <w:t xml:space="preserve">GB/T </w:t>
    </w:r>
    <w:r>
      <w:rPr>
        <w:rFonts w:hint="eastAsia"/>
      </w:rPr>
      <w:t>13529-</w:t>
    </w: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B09D" w14:textId="77777777" w:rsidR="009D6B7A" w:rsidRDefault="00FF1B05">
    <w:pPr>
      <w:pStyle w:val="afe"/>
      <w:jc w:val="right"/>
    </w:pPr>
    <w:r>
      <w:t>GB/T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0E42" w14:textId="77777777" w:rsidR="009D6B7A" w:rsidRDefault="00FF1B05">
    <w:pPr>
      <w:pStyle w:val="afe"/>
      <w:jc w:val="right"/>
    </w:pPr>
    <w:r>
      <w:t xml:space="preserve">GB/T </w:t>
    </w:r>
    <w:r>
      <w:rPr>
        <w:rFonts w:hint="eastAsia"/>
      </w:rPr>
      <w:t>13529-</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17D29"/>
    <w:multiLevelType w:val="multilevel"/>
    <w:tmpl w:val="10B17D29"/>
    <w:lvl w:ilvl="0">
      <w:start w:val="1"/>
      <w:numFmt w:val="decimal"/>
      <w:pStyle w:val="a"/>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0D53F7E"/>
    <w:multiLevelType w:val="multilevel"/>
    <w:tmpl w:val="20D53F7E"/>
    <w:lvl w:ilvl="0">
      <w:start w:val="1"/>
      <w:numFmt w:val="lowerLetter"/>
      <w:lvlText w:val="%1)"/>
      <w:lvlJc w:val="left"/>
      <w:pPr>
        <w:tabs>
          <w:tab w:val="left" w:pos="930"/>
        </w:tabs>
        <w:ind w:left="930" w:hanging="36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0"/>
  </w:num>
  <w:num w:numId="2">
    <w:abstractNumId w:val="1"/>
  </w:num>
  <w:num w:numId="3">
    <w:abstractNumId w:val="1"/>
    <w:lvlOverride w:ilvl="0">
      <w:startOverride w:val="7"/>
    </w:lvlOverride>
    <w:lvlOverride w:ilvl="1">
      <w:startOverride w:val="2"/>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ADB"/>
    <w:rsid w:val="00001D4F"/>
    <w:rsid w:val="000075A2"/>
    <w:rsid w:val="00012E31"/>
    <w:rsid w:val="00013067"/>
    <w:rsid w:val="00037AA3"/>
    <w:rsid w:val="00043788"/>
    <w:rsid w:val="000444B5"/>
    <w:rsid w:val="00044E79"/>
    <w:rsid w:val="00054274"/>
    <w:rsid w:val="000557A1"/>
    <w:rsid w:val="00057804"/>
    <w:rsid w:val="00067E4A"/>
    <w:rsid w:val="00074A43"/>
    <w:rsid w:val="00075A5D"/>
    <w:rsid w:val="00084A6D"/>
    <w:rsid w:val="000904E9"/>
    <w:rsid w:val="00093CA1"/>
    <w:rsid w:val="00093D2F"/>
    <w:rsid w:val="00096391"/>
    <w:rsid w:val="000A5394"/>
    <w:rsid w:val="000A5B90"/>
    <w:rsid w:val="000A71D0"/>
    <w:rsid w:val="000A76B4"/>
    <w:rsid w:val="000A7EA1"/>
    <w:rsid w:val="000B0DD0"/>
    <w:rsid w:val="000B26E0"/>
    <w:rsid w:val="000C4D3E"/>
    <w:rsid w:val="000D2EAF"/>
    <w:rsid w:val="000D408C"/>
    <w:rsid w:val="000D60AB"/>
    <w:rsid w:val="000D61D8"/>
    <w:rsid w:val="000E27E7"/>
    <w:rsid w:val="000F5BA5"/>
    <w:rsid w:val="000F63FA"/>
    <w:rsid w:val="000F710A"/>
    <w:rsid w:val="00100053"/>
    <w:rsid w:val="00102024"/>
    <w:rsid w:val="00102727"/>
    <w:rsid w:val="00104C4E"/>
    <w:rsid w:val="00107A27"/>
    <w:rsid w:val="00117758"/>
    <w:rsid w:val="00123A10"/>
    <w:rsid w:val="0012781F"/>
    <w:rsid w:val="00131388"/>
    <w:rsid w:val="001321FD"/>
    <w:rsid w:val="0013276F"/>
    <w:rsid w:val="00136C67"/>
    <w:rsid w:val="00136DE9"/>
    <w:rsid w:val="0014458C"/>
    <w:rsid w:val="00145682"/>
    <w:rsid w:val="001519AC"/>
    <w:rsid w:val="001634AF"/>
    <w:rsid w:val="0016369B"/>
    <w:rsid w:val="00181F49"/>
    <w:rsid w:val="00182172"/>
    <w:rsid w:val="001837C9"/>
    <w:rsid w:val="0018461A"/>
    <w:rsid w:val="00186683"/>
    <w:rsid w:val="00193D76"/>
    <w:rsid w:val="001B1FBE"/>
    <w:rsid w:val="001B25A4"/>
    <w:rsid w:val="001B47F4"/>
    <w:rsid w:val="001C3332"/>
    <w:rsid w:val="001C78E3"/>
    <w:rsid w:val="001D2723"/>
    <w:rsid w:val="001D7D49"/>
    <w:rsid w:val="001E1857"/>
    <w:rsid w:val="001E3B8A"/>
    <w:rsid w:val="00201875"/>
    <w:rsid w:val="00205550"/>
    <w:rsid w:val="00211E6C"/>
    <w:rsid w:val="0021483C"/>
    <w:rsid w:val="00227C93"/>
    <w:rsid w:val="00233FA5"/>
    <w:rsid w:val="00236E69"/>
    <w:rsid w:val="002379E6"/>
    <w:rsid w:val="00237A7C"/>
    <w:rsid w:val="00244453"/>
    <w:rsid w:val="00251321"/>
    <w:rsid w:val="0025539F"/>
    <w:rsid w:val="00255E0C"/>
    <w:rsid w:val="00257488"/>
    <w:rsid w:val="00266E68"/>
    <w:rsid w:val="0027102F"/>
    <w:rsid w:val="00271957"/>
    <w:rsid w:val="002723AD"/>
    <w:rsid w:val="0027319A"/>
    <w:rsid w:val="0028599B"/>
    <w:rsid w:val="00290787"/>
    <w:rsid w:val="00293650"/>
    <w:rsid w:val="0029499D"/>
    <w:rsid w:val="002A0577"/>
    <w:rsid w:val="002A2701"/>
    <w:rsid w:val="002A2AA6"/>
    <w:rsid w:val="002A43A6"/>
    <w:rsid w:val="002B3EEC"/>
    <w:rsid w:val="002B3FEB"/>
    <w:rsid w:val="002B49A4"/>
    <w:rsid w:val="002C4526"/>
    <w:rsid w:val="002D1EE7"/>
    <w:rsid w:val="002D7B1B"/>
    <w:rsid w:val="002E0CB4"/>
    <w:rsid w:val="002E6B57"/>
    <w:rsid w:val="002F715D"/>
    <w:rsid w:val="002F724F"/>
    <w:rsid w:val="003007B1"/>
    <w:rsid w:val="003027DC"/>
    <w:rsid w:val="00306386"/>
    <w:rsid w:val="0031188C"/>
    <w:rsid w:val="00313D20"/>
    <w:rsid w:val="00316489"/>
    <w:rsid w:val="003261BD"/>
    <w:rsid w:val="003263B2"/>
    <w:rsid w:val="00337347"/>
    <w:rsid w:val="0034398A"/>
    <w:rsid w:val="00353803"/>
    <w:rsid w:val="0035586A"/>
    <w:rsid w:val="00356FA7"/>
    <w:rsid w:val="003710B5"/>
    <w:rsid w:val="00372E20"/>
    <w:rsid w:val="00384DD9"/>
    <w:rsid w:val="00386EB0"/>
    <w:rsid w:val="00387E31"/>
    <w:rsid w:val="00395F58"/>
    <w:rsid w:val="00396EC8"/>
    <w:rsid w:val="0039714B"/>
    <w:rsid w:val="00397770"/>
    <w:rsid w:val="003A0132"/>
    <w:rsid w:val="003A05E7"/>
    <w:rsid w:val="003B1D50"/>
    <w:rsid w:val="003C0C11"/>
    <w:rsid w:val="003C23D2"/>
    <w:rsid w:val="003C493E"/>
    <w:rsid w:val="003D0C52"/>
    <w:rsid w:val="003D232D"/>
    <w:rsid w:val="003D6951"/>
    <w:rsid w:val="003E0202"/>
    <w:rsid w:val="003E09DD"/>
    <w:rsid w:val="003E2A74"/>
    <w:rsid w:val="003E6D6B"/>
    <w:rsid w:val="003F2CA1"/>
    <w:rsid w:val="003F2F88"/>
    <w:rsid w:val="00401112"/>
    <w:rsid w:val="004017F0"/>
    <w:rsid w:val="00410CF7"/>
    <w:rsid w:val="0041436E"/>
    <w:rsid w:val="00421CC0"/>
    <w:rsid w:val="004317EF"/>
    <w:rsid w:val="0043717F"/>
    <w:rsid w:val="004408E1"/>
    <w:rsid w:val="0044160D"/>
    <w:rsid w:val="00441BAA"/>
    <w:rsid w:val="004420E8"/>
    <w:rsid w:val="004427CC"/>
    <w:rsid w:val="0045080D"/>
    <w:rsid w:val="00451014"/>
    <w:rsid w:val="00460821"/>
    <w:rsid w:val="00462EF0"/>
    <w:rsid w:val="004630AC"/>
    <w:rsid w:val="00467948"/>
    <w:rsid w:val="00477C34"/>
    <w:rsid w:val="00482475"/>
    <w:rsid w:val="004842F0"/>
    <w:rsid w:val="00484426"/>
    <w:rsid w:val="00484CC4"/>
    <w:rsid w:val="0049348F"/>
    <w:rsid w:val="00495FAA"/>
    <w:rsid w:val="00496E70"/>
    <w:rsid w:val="004A0C4E"/>
    <w:rsid w:val="004A53CF"/>
    <w:rsid w:val="004B5997"/>
    <w:rsid w:val="004C34AD"/>
    <w:rsid w:val="004C3B4C"/>
    <w:rsid w:val="004D585B"/>
    <w:rsid w:val="004D6098"/>
    <w:rsid w:val="004D6680"/>
    <w:rsid w:val="004E0FEC"/>
    <w:rsid w:val="004E4658"/>
    <w:rsid w:val="004E6CC0"/>
    <w:rsid w:val="004E6F30"/>
    <w:rsid w:val="004F110E"/>
    <w:rsid w:val="004F3650"/>
    <w:rsid w:val="004F4669"/>
    <w:rsid w:val="004F5C05"/>
    <w:rsid w:val="00500CDD"/>
    <w:rsid w:val="00500E12"/>
    <w:rsid w:val="00501085"/>
    <w:rsid w:val="005077BE"/>
    <w:rsid w:val="00511BED"/>
    <w:rsid w:val="00517732"/>
    <w:rsid w:val="00521491"/>
    <w:rsid w:val="00523EB4"/>
    <w:rsid w:val="005245CE"/>
    <w:rsid w:val="00524D0C"/>
    <w:rsid w:val="00527D3E"/>
    <w:rsid w:val="005333FD"/>
    <w:rsid w:val="00561844"/>
    <w:rsid w:val="00564EBE"/>
    <w:rsid w:val="00571A67"/>
    <w:rsid w:val="005736EA"/>
    <w:rsid w:val="005757EE"/>
    <w:rsid w:val="0058034A"/>
    <w:rsid w:val="00580A0E"/>
    <w:rsid w:val="005A2C11"/>
    <w:rsid w:val="005B0BB8"/>
    <w:rsid w:val="005B253E"/>
    <w:rsid w:val="005D1D52"/>
    <w:rsid w:val="005E159B"/>
    <w:rsid w:val="005E3453"/>
    <w:rsid w:val="005E37D1"/>
    <w:rsid w:val="005E3FA7"/>
    <w:rsid w:val="005E4747"/>
    <w:rsid w:val="005E54B7"/>
    <w:rsid w:val="005F2D8B"/>
    <w:rsid w:val="005F4ADF"/>
    <w:rsid w:val="005F57D1"/>
    <w:rsid w:val="0060016D"/>
    <w:rsid w:val="00606818"/>
    <w:rsid w:val="0060713E"/>
    <w:rsid w:val="006071F6"/>
    <w:rsid w:val="00610C2E"/>
    <w:rsid w:val="006156EC"/>
    <w:rsid w:val="0061794D"/>
    <w:rsid w:val="00623175"/>
    <w:rsid w:val="00624F00"/>
    <w:rsid w:val="00624FDA"/>
    <w:rsid w:val="00632A78"/>
    <w:rsid w:val="006369FB"/>
    <w:rsid w:val="00636C2A"/>
    <w:rsid w:val="00645546"/>
    <w:rsid w:val="0064624B"/>
    <w:rsid w:val="006509B1"/>
    <w:rsid w:val="00660DC3"/>
    <w:rsid w:val="00663107"/>
    <w:rsid w:val="00664B06"/>
    <w:rsid w:val="00672048"/>
    <w:rsid w:val="00672EB9"/>
    <w:rsid w:val="0067786B"/>
    <w:rsid w:val="0068557E"/>
    <w:rsid w:val="00685DCF"/>
    <w:rsid w:val="00690556"/>
    <w:rsid w:val="00695FBB"/>
    <w:rsid w:val="00696465"/>
    <w:rsid w:val="006A00FD"/>
    <w:rsid w:val="006A4DE0"/>
    <w:rsid w:val="006A5AE6"/>
    <w:rsid w:val="006C7B63"/>
    <w:rsid w:val="006D053A"/>
    <w:rsid w:val="006E7789"/>
    <w:rsid w:val="006F2906"/>
    <w:rsid w:val="007020E6"/>
    <w:rsid w:val="0070687B"/>
    <w:rsid w:val="007229DD"/>
    <w:rsid w:val="00723B75"/>
    <w:rsid w:val="00725169"/>
    <w:rsid w:val="00725634"/>
    <w:rsid w:val="007420A4"/>
    <w:rsid w:val="00744E96"/>
    <w:rsid w:val="007472AE"/>
    <w:rsid w:val="00750ED2"/>
    <w:rsid w:val="007531FA"/>
    <w:rsid w:val="007623EC"/>
    <w:rsid w:val="00765F86"/>
    <w:rsid w:val="007666D8"/>
    <w:rsid w:val="00774FFF"/>
    <w:rsid w:val="00783464"/>
    <w:rsid w:val="00787AB3"/>
    <w:rsid w:val="00796111"/>
    <w:rsid w:val="007A5F1C"/>
    <w:rsid w:val="007B331B"/>
    <w:rsid w:val="007B7895"/>
    <w:rsid w:val="007C09B4"/>
    <w:rsid w:val="007C7032"/>
    <w:rsid w:val="007D0F90"/>
    <w:rsid w:val="007D4141"/>
    <w:rsid w:val="007D4315"/>
    <w:rsid w:val="007D7271"/>
    <w:rsid w:val="007D7F9B"/>
    <w:rsid w:val="007E0E52"/>
    <w:rsid w:val="007E5D2E"/>
    <w:rsid w:val="007E6D31"/>
    <w:rsid w:val="007F2D82"/>
    <w:rsid w:val="007F4E4E"/>
    <w:rsid w:val="00813BF8"/>
    <w:rsid w:val="00820FAA"/>
    <w:rsid w:val="00831FCC"/>
    <w:rsid w:val="008331BE"/>
    <w:rsid w:val="00833819"/>
    <w:rsid w:val="00840968"/>
    <w:rsid w:val="00852480"/>
    <w:rsid w:val="00856779"/>
    <w:rsid w:val="008577D7"/>
    <w:rsid w:val="00870875"/>
    <w:rsid w:val="00891A5A"/>
    <w:rsid w:val="00896A90"/>
    <w:rsid w:val="008A759B"/>
    <w:rsid w:val="008B4691"/>
    <w:rsid w:val="008C00A1"/>
    <w:rsid w:val="008C2E57"/>
    <w:rsid w:val="008C5DB4"/>
    <w:rsid w:val="008C6AA4"/>
    <w:rsid w:val="008D0923"/>
    <w:rsid w:val="008D2997"/>
    <w:rsid w:val="008D49CA"/>
    <w:rsid w:val="008D513C"/>
    <w:rsid w:val="008E6450"/>
    <w:rsid w:val="008E765D"/>
    <w:rsid w:val="008E7A3D"/>
    <w:rsid w:val="008F303C"/>
    <w:rsid w:val="008F46A3"/>
    <w:rsid w:val="00901B18"/>
    <w:rsid w:val="00903B41"/>
    <w:rsid w:val="009041C3"/>
    <w:rsid w:val="009077F6"/>
    <w:rsid w:val="0091084E"/>
    <w:rsid w:val="00915A4D"/>
    <w:rsid w:val="00915B28"/>
    <w:rsid w:val="00920181"/>
    <w:rsid w:val="00922273"/>
    <w:rsid w:val="009243AD"/>
    <w:rsid w:val="00926165"/>
    <w:rsid w:val="0093024D"/>
    <w:rsid w:val="0093566A"/>
    <w:rsid w:val="0093573A"/>
    <w:rsid w:val="00935CA2"/>
    <w:rsid w:val="00936D08"/>
    <w:rsid w:val="00945C3F"/>
    <w:rsid w:val="00953DAD"/>
    <w:rsid w:val="00962C3E"/>
    <w:rsid w:val="00970686"/>
    <w:rsid w:val="00983635"/>
    <w:rsid w:val="00983EAF"/>
    <w:rsid w:val="00985103"/>
    <w:rsid w:val="009863E9"/>
    <w:rsid w:val="0098722E"/>
    <w:rsid w:val="00994BF0"/>
    <w:rsid w:val="00994DD9"/>
    <w:rsid w:val="009A36FE"/>
    <w:rsid w:val="009A3C52"/>
    <w:rsid w:val="009B122B"/>
    <w:rsid w:val="009B183E"/>
    <w:rsid w:val="009C0B30"/>
    <w:rsid w:val="009C0FDE"/>
    <w:rsid w:val="009C4457"/>
    <w:rsid w:val="009C5919"/>
    <w:rsid w:val="009C6D82"/>
    <w:rsid w:val="009D4850"/>
    <w:rsid w:val="009D6B7A"/>
    <w:rsid w:val="009E22EE"/>
    <w:rsid w:val="009E46B5"/>
    <w:rsid w:val="009F23D9"/>
    <w:rsid w:val="00A019B4"/>
    <w:rsid w:val="00A020E3"/>
    <w:rsid w:val="00A022A5"/>
    <w:rsid w:val="00A02560"/>
    <w:rsid w:val="00A02C14"/>
    <w:rsid w:val="00A031F8"/>
    <w:rsid w:val="00A10A9A"/>
    <w:rsid w:val="00A115FA"/>
    <w:rsid w:val="00A23ADB"/>
    <w:rsid w:val="00A2533D"/>
    <w:rsid w:val="00A26B0F"/>
    <w:rsid w:val="00A35463"/>
    <w:rsid w:val="00A3782C"/>
    <w:rsid w:val="00A37E2F"/>
    <w:rsid w:val="00A421B2"/>
    <w:rsid w:val="00A453FC"/>
    <w:rsid w:val="00A46B2D"/>
    <w:rsid w:val="00A50DFC"/>
    <w:rsid w:val="00A52C42"/>
    <w:rsid w:val="00A530AF"/>
    <w:rsid w:val="00A53A8C"/>
    <w:rsid w:val="00A62305"/>
    <w:rsid w:val="00A66292"/>
    <w:rsid w:val="00A66898"/>
    <w:rsid w:val="00A740DA"/>
    <w:rsid w:val="00A802F0"/>
    <w:rsid w:val="00A829AF"/>
    <w:rsid w:val="00A908F9"/>
    <w:rsid w:val="00A95676"/>
    <w:rsid w:val="00A960AE"/>
    <w:rsid w:val="00A976E8"/>
    <w:rsid w:val="00A97CC9"/>
    <w:rsid w:val="00A97F12"/>
    <w:rsid w:val="00AA1E98"/>
    <w:rsid w:val="00AB34B9"/>
    <w:rsid w:val="00AC5EF1"/>
    <w:rsid w:val="00AD20B1"/>
    <w:rsid w:val="00AE1236"/>
    <w:rsid w:val="00AE42F7"/>
    <w:rsid w:val="00AF0796"/>
    <w:rsid w:val="00AF3371"/>
    <w:rsid w:val="00AF5E9A"/>
    <w:rsid w:val="00B001D2"/>
    <w:rsid w:val="00B00361"/>
    <w:rsid w:val="00B0196B"/>
    <w:rsid w:val="00B059A4"/>
    <w:rsid w:val="00B05E5C"/>
    <w:rsid w:val="00B07612"/>
    <w:rsid w:val="00B13B8F"/>
    <w:rsid w:val="00B23E9C"/>
    <w:rsid w:val="00B24664"/>
    <w:rsid w:val="00B31F83"/>
    <w:rsid w:val="00B33F27"/>
    <w:rsid w:val="00B51599"/>
    <w:rsid w:val="00B5254A"/>
    <w:rsid w:val="00B52C49"/>
    <w:rsid w:val="00B52D78"/>
    <w:rsid w:val="00B53E8A"/>
    <w:rsid w:val="00B5652F"/>
    <w:rsid w:val="00B611D9"/>
    <w:rsid w:val="00B65B6F"/>
    <w:rsid w:val="00B76735"/>
    <w:rsid w:val="00B818AE"/>
    <w:rsid w:val="00B81DDC"/>
    <w:rsid w:val="00B91CEC"/>
    <w:rsid w:val="00B95908"/>
    <w:rsid w:val="00B96EEC"/>
    <w:rsid w:val="00BA4AB8"/>
    <w:rsid w:val="00BA6683"/>
    <w:rsid w:val="00BC09B5"/>
    <w:rsid w:val="00BC1C59"/>
    <w:rsid w:val="00BD2624"/>
    <w:rsid w:val="00BD347A"/>
    <w:rsid w:val="00BD36BE"/>
    <w:rsid w:val="00BD73D4"/>
    <w:rsid w:val="00BE618A"/>
    <w:rsid w:val="00BE62D6"/>
    <w:rsid w:val="00BE7404"/>
    <w:rsid w:val="00BF0469"/>
    <w:rsid w:val="00BF4C75"/>
    <w:rsid w:val="00C07118"/>
    <w:rsid w:val="00C16F40"/>
    <w:rsid w:val="00C176A2"/>
    <w:rsid w:val="00C1785F"/>
    <w:rsid w:val="00C22802"/>
    <w:rsid w:val="00C27393"/>
    <w:rsid w:val="00C30402"/>
    <w:rsid w:val="00C51067"/>
    <w:rsid w:val="00C53E98"/>
    <w:rsid w:val="00C57DE1"/>
    <w:rsid w:val="00C6258E"/>
    <w:rsid w:val="00C649AF"/>
    <w:rsid w:val="00C661B2"/>
    <w:rsid w:val="00C81F54"/>
    <w:rsid w:val="00C82EC3"/>
    <w:rsid w:val="00C83456"/>
    <w:rsid w:val="00C9012E"/>
    <w:rsid w:val="00C94215"/>
    <w:rsid w:val="00C9666A"/>
    <w:rsid w:val="00C9748C"/>
    <w:rsid w:val="00C97954"/>
    <w:rsid w:val="00CA75F0"/>
    <w:rsid w:val="00CB37B7"/>
    <w:rsid w:val="00CB47B2"/>
    <w:rsid w:val="00CB5668"/>
    <w:rsid w:val="00CB6A68"/>
    <w:rsid w:val="00CC2949"/>
    <w:rsid w:val="00CD0D7B"/>
    <w:rsid w:val="00CE75AC"/>
    <w:rsid w:val="00CF2640"/>
    <w:rsid w:val="00CF29AC"/>
    <w:rsid w:val="00CF2B4C"/>
    <w:rsid w:val="00CF3481"/>
    <w:rsid w:val="00D015B0"/>
    <w:rsid w:val="00D0489A"/>
    <w:rsid w:val="00D13127"/>
    <w:rsid w:val="00D324F7"/>
    <w:rsid w:val="00D36803"/>
    <w:rsid w:val="00D41AB2"/>
    <w:rsid w:val="00D43A2A"/>
    <w:rsid w:val="00D44292"/>
    <w:rsid w:val="00D522BD"/>
    <w:rsid w:val="00D55F64"/>
    <w:rsid w:val="00D56CAD"/>
    <w:rsid w:val="00D60C73"/>
    <w:rsid w:val="00D614D8"/>
    <w:rsid w:val="00D619E2"/>
    <w:rsid w:val="00D62A6D"/>
    <w:rsid w:val="00D63141"/>
    <w:rsid w:val="00D632B7"/>
    <w:rsid w:val="00D6466E"/>
    <w:rsid w:val="00D65E97"/>
    <w:rsid w:val="00D6730B"/>
    <w:rsid w:val="00D678D3"/>
    <w:rsid w:val="00D71381"/>
    <w:rsid w:val="00D71D79"/>
    <w:rsid w:val="00D726CC"/>
    <w:rsid w:val="00D73C37"/>
    <w:rsid w:val="00D76C6A"/>
    <w:rsid w:val="00D7779B"/>
    <w:rsid w:val="00D83D6C"/>
    <w:rsid w:val="00D86A72"/>
    <w:rsid w:val="00D90F9D"/>
    <w:rsid w:val="00D92FE0"/>
    <w:rsid w:val="00D97ECC"/>
    <w:rsid w:val="00DA608B"/>
    <w:rsid w:val="00DB02DD"/>
    <w:rsid w:val="00DB3445"/>
    <w:rsid w:val="00DB512E"/>
    <w:rsid w:val="00DD3C9B"/>
    <w:rsid w:val="00DD4F5D"/>
    <w:rsid w:val="00DD59F2"/>
    <w:rsid w:val="00DE0DB1"/>
    <w:rsid w:val="00DE1E6C"/>
    <w:rsid w:val="00DE33E4"/>
    <w:rsid w:val="00DE76B3"/>
    <w:rsid w:val="00DF0969"/>
    <w:rsid w:val="00DF2DD6"/>
    <w:rsid w:val="00E03B68"/>
    <w:rsid w:val="00E0569D"/>
    <w:rsid w:val="00E10261"/>
    <w:rsid w:val="00E11B92"/>
    <w:rsid w:val="00E15702"/>
    <w:rsid w:val="00E17815"/>
    <w:rsid w:val="00E26CD7"/>
    <w:rsid w:val="00E2781F"/>
    <w:rsid w:val="00E3288E"/>
    <w:rsid w:val="00E3405C"/>
    <w:rsid w:val="00E401E1"/>
    <w:rsid w:val="00E42C35"/>
    <w:rsid w:val="00E51043"/>
    <w:rsid w:val="00E572D2"/>
    <w:rsid w:val="00E60246"/>
    <w:rsid w:val="00E6079B"/>
    <w:rsid w:val="00E61208"/>
    <w:rsid w:val="00E62AFE"/>
    <w:rsid w:val="00E65181"/>
    <w:rsid w:val="00E67A26"/>
    <w:rsid w:val="00E714D9"/>
    <w:rsid w:val="00E74418"/>
    <w:rsid w:val="00E74C73"/>
    <w:rsid w:val="00E87058"/>
    <w:rsid w:val="00E87340"/>
    <w:rsid w:val="00E931DC"/>
    <w:rsid w:val="00E9682A"/>
    <w:rsid w:val="00EA291D"/>
    <w:rsid w:val="00EA3EFC"/>
    <w:rsid w:val="00EB13DB"/>
    <w:rsid w:val="00EB36C6"/>
    <w:rsid w:val="00EB72C6"/>
    <w:rsid w:val="00EC3329"/>
    <w:rsid w:val="00EC4AF5"/>
    <w:rsid w:val="00EC5E9C"/>
    <w:rsid w:val="00EC60A7"/>
    <w:rsid w:val="00ED2E7C"/>
    <w:rsid w:val="00ED51B1"/>
    <w:rsid w:val="00ED54AC"/>
    <w:rsid w:val="00EE08E5"/>
    <w:rsid w:val="00EF044B"/>
    <w:rsid w:val="00EF6EB9"/>
    <w:rsid w:val="00F00585"/>
    <w:rsid w:val="00F064FF"/>
    <w:rsid w:val="00F10ACF"/>
    <w:rsid w:val="00F15219"/>
    <w:rsid w:val="00F162C4"/>
    <w:rsid w:val="00F2133E"/>
    <w:rsid w:val="00F22A76"/>
    <w:rsid w:val="00F249E9"/>
    <w:rsid w:val="00F26C60"/>
    <w:rsid w:val="00F42510"/>
    <w:rsid w:val="00F46AFB"/>
    <w:rsid w:val="00F51BB0"/>
    <w:rsid w:val="00F61449"/>
    <w:rsid w:val="00F70AB1"/>
    <w:rsid w:val="00F724AD"/>
    <w:rsid w:val="00F80158"/>
    <w:rsid w:val="00F81B45"/>
    <w:rsid w:val="00F9449B"/>
    <w:rsid w:val="00F9597D"/>
    <w:rsid w:val="00F96ABB"/>
    <w:rsid w:val="00FA27B2"/>
    <w:rsid w:val="00FB0BCA"/>
    <w:rsid w:val="00FB2333"/>
    <w:rsid w:val="00FC2C15"/>
    <w:rsid w:val="00FC7B6C"/>
    <w:rsid w:val="00FD3368"/>
    <w:rsid w:val="00FD7720"/>
    <w:rsid w:val="00FE2C85"/>
    <w:rsid w:val="00FF1B05"/>
    <w:rsid w:val="00FF5EA5"/>
    <w:rsid w:val="00FF6375"/>
    <w:rsid w:val="033F47BC"/>
    <w:rsid w:val="042C386D"/>
    <w:rsid w:val="04327F71"/>
    <w:rsid w:val="053B0BDD"/>
    <w:rsid w:val="0CC02DEB"/>
    <w:rsid w:val="0CD16F4E"/>
    <w:rsid w:val="0DE9192B"/>
    <w:rsid w:val="10AA65FD"/>
    <w:rsid w:val="10C053DB"/>
    <w:rsid w:val="11DB369B"/>
    <w:rsid w:val="13CA2430"/>
    <w:rsid w:val="1508590F"/>
    <w:rsid w:val="17DC4538"/>
    <w:rsid w:val="19177FF0"/>
    <w:rsid w:val="1A7A2D3C"/>
    <w:rsid w:val="1D411166"/>
    <w:rsid w:val="1DFA0EE6"/>
    <w:rsid w:val="1EB35AE2"/>
    <w:rsid w:val="1EC3317D"/>
    <w:rsid w:val="2290718E"/>
    <w:rsid w:val="24407962"/>
    <w:rsid w:val="26E1678C"/>
    <w:rsid w:val="279A24C2"/>
    <w:rsid w:val="2ACA3BA6"/>
    <w:rsid w:val="2E4A3AC0"/>
    <w:rsid w:val="333F756B"/>
    <w:rsid w:val="3667498A"/>
    <w:rsid w:val="372011AB"/>
    <w:rsid w:val="3723652C"/>
    <w:rsid w:val="37AF78AA"/>
    <w:rsid w:val="37E2287B"/>
    <w:rsid w:val="3BAF680D"/>
    <w:rsid w:val="3D15610F"/>
    <w:rsid w:val="44944EB4"/>
    <w:rsid w:val="478C43AE"/>
    <w:rsid w:val="48B41CFB"/>
    <w:rsid w:val="4E45647E"/>
    <w:rsid w:val="505E6B9C"/>
    <w:rsid w:val="52576A5F"/>
    <w:rsid w:val="53A455B2"/>
    <w:rsid w:val="55727E64"/>
    <w:rsid w:val="560A2F5B"/>
    <w:rsid w:val="578650DC"/>
    <w:rsid w:val="5A5D220B"/>
    <w:rsid w:val="600417D8"/>
    <w:rsid w:val="624C60BC"/>
    <w:rsid w:val="6B395EDF"/>
    <w:rsid w:val="6BD145DC"/>
    <w:rsid w:val="733C23FB"/>
    <w:rsid w:val="770507EA"/>
    <w:rsid w:val="7B9B2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2E6934"/>
  <w15:docId w15:val="{AFE434F7-1414-449D-A2BA-95E1C404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qFormat="1"/>
    <w:lsdException w:name="footer" w:qFormat="1"/>
    <w:lsdException w:name="caption" w:semiHidden="1" w:unhideWhenUsed="1" w:qFormat="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qFormat/>
    <w:pPr>
      <w:keepNext/>
      <w:keepLines/>
      <w:spacing w:before="340" w:after="330" w:line="578" w:lineRule="auto"/>
      <w:outlineLvl w:val="0"/>
    </w:pPr>
    <w:rPr>
      <w:b/>
      <w:kern w:val="44"/>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semiHidden/>
    <w:pPr>
      <w:jc w:val="left"/>
    </w:pPr>
  </w:style>
  <w:style w:type="paragraph" w:styleId="a5">
    <w:name w:val="Body Text"/>
    <w:basedOn w:val="a0"/>
    <w:pPr>
      <w:spacing w:after="120"/>
    </w:pPr>
  </w:style>
  <w:style w:type="paragraph" w:styleId="a6">
    <w:name w:val="Body Text Indent"/>
    <w:basedOn w:val="a0"/>
    <w:pPr>
      <w:spacing w:line="340" w:lineRule="atLeast"/>
      <w:ind w:firstLine="570"/>
    </w:pPr>
  </w:style>
  <w:style w:type="paragraph" w:styleId="a7">
    <w:name w:val="Balloon Text"/>
    <w:basedOn w:val="a0"/>
    <w:semiHidden/>
    <w:rPr>
      <w:sz w:val="18"/>
      <w:szCs w:val="18"/>
    </w:rPr>
  </w:style>
  <w:style w:type="paragraph" w:styleId="a8">
    <w:name w:val="footer"/>
    <w:basedOn w:val="a0"/>
    <w:qFormat/>
    <w:pPr>
      <w:tabs>
        <w:tab w:val="center" w:pos="4153"/>
        <w:tab w:val="right" w:pos="8306"/>
      </w:tabs>
      <w:snapToGrid w:val="0"/>
      <w:jc w:val="left"/>
    </w:pPr>
    <w:rPr>
      <w:sz w:val="18"/>
      <w:szCs w:val="18"/>
    </w:rPr>
  </w:style>
  <w:style w:type="paragraph" w:styleId="a9">
    <w:name w:val="header"/>
    <w:basedOn w:val="a0"/>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4"/>
    <w:next w:val="a4"/>
    <w:semiHidden/>
    <w:qFormat/>
    <w:rPr>
      <w:b/>
      <w:bCs/>
    </w:rPr>
  </w:style>
  <w:style w:type="table" w:styleId="ab">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annotation reference"/>
    <w:semiHidden/>
    <w:rPr>
      <w:sz w:val="21"/>
      <w:szCs w:val="21"/>
    </w:rPr>
  </w:style>
  <w:style w:type="character" w:customStyle="1" w:styleId="Char">
    <w:name w:val="段 Char"/>
    <w:link w:val="ae"/>
    <w:rPr>
      <w:rFonts w:ascii="宋体"/>
      <w:sz w:val="21"/>
      <w:lang w:val="en-US" w:eastAsia="zh-CN" w:bidi="ar-SA"/>
    </w:rPr>
  </w:style>
  <w:style w:type="paragraph" w:customStyle="1" w:styleId="ae">
    <w:name w:val="段"/>
    <w:link w:val="Char"/>
    <w:pPr>
      <w:autoSpaceDE w:val="0"/>
      <w:autoSpaceDN w:val="0"/>
      <w:ind w:firstLineChars="200" w:firstLine="200"/>
      <w:jc w:val="both"/>
    </w:pPr>
    <w:rPr>
      <w:rFonts w:ascii="宋体"/>
      <w:sz w:val="21"/>
    </w:rPr>
  </w:style>
  <w:style w:type="character" w:customStyle="1" w:styleId="CharChar">
    <w:name w:val="段 Char Char"/>
    <w:rPr>
      <w:rFonts w:ascii="宋体" w:eastAsia="宋体"/>
      <w:sz w:val="21"/>
      <w:lang w:val="en-US" w:eastAsia="zh-CN" w:bidi="ar-SA"/>
    </w:rPr>
  </w:style>
  <w:style w:type="character" w:customStyle="1" w:styleId="af">
    <w:name w:val="发布"/>
    <w:rPr>
      <w:rFonts w:ascii="黑体" w:eastAsia="黑体"/>
      <w:spacing w:val="22"/>
      <w:w w:val="100"/>
      <w:position w:val="3"/>
      <w:sz w:val="28"/>
    </w:rPr>
  </w:style>
  <w:style w:type="character" w:customStyle="1" w:styleId="CharChar0">
    <w:name w:val="附录一级条标题 Char Char"/>
    <w:link w:val="Char0"/>
    <w:rPr>
      <w:lang w:val="en-US" w:eastAsia="zh-CN" w:bidi="ar-SA"/>
    </w:rPr>
  </w:style>
  <w:style w:type="paragraph" w:customStyle="1" w:styleId="Char0">
    <w:name w:val="附录一级条标题 Char"/>
    <w:basedOn w:val="Char1"/>
    <w:next w:val="a0"/>
    <w:link w:val="CharChar0"/>
    <w:pPr>
      <w:autoSpaceDN w:val="0"/>
      <w:spacing w:beforeLines="0" w:before="0" w:afterLines="0" w:after="0"/>
      <w:outlineLvl w:val="2"/>
    </w:pPr>
  </w:style>
  <w:style w:type="paragraph" w:customStyle="1" w:styleId="Char1">
    <w:name w:val="附录章标题 Char"/>
    <w:next w:val="a0"/>
    <w:link w:val="CharChar1"/>
    <w:p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Char1">
    <w:name w:val="附录章标题 Char Char"/>
    <w:link w:val="Char1"/>
    <w:rPr>
      <w:rFonts w:ascii="黑体" w:eastAsia="黑体"/>
      <w:kern w:val="21"/>
      <w:sz w:val="21"/>
      <w:lang w:val="en-US" w:eastAsia="zh-CN" w:bidi="ar-SA"/>
    </w:rPr>
  </w:style>
  <w:style w:type="character" w:customStyle="1" w:styleId="Char2">
    <w:name w:val="二级条标题 Char"/>
    <w:link w:val="af0"/>
    <w:rPr>
      <w:rFonts w:ascii="黑体" w:eastAsia="黑体"/>
      <w:sz w:val="21"/>
      <w:lang w:val="en-US" w:eastAsia="zh-CN" w:bidi="ar-SA"/>
    </w:rPr>
  </w:style>
  <w:style w:type="paragraph" w:customStyle="1" w:styleId="af0">
    <w:name w:val="二级条标题"/>
    <w:basedOn w:val="af1"/>
    <w:next w:val="ae"/>
    <w:link w:val="Char2"/>
    <w:pPr>
      <w:outlineLvl w:val="3"/>
    </w:pPr>
  </w:style>
  <w:style w:type="paragraph" w:customStyle="1" w:styleId="af1">
    <w:name w:val="一级条标题"/>
    <w:basedOn w:val="af2"/>
    <w:next w:val="ae"/>
    <w:pPr>
      <w:spacing w:beforeLines="0" w:before="0" w:afterLines="0" w:after="0"/>
      <w:outlineLvl w:val="2"/>
    </w:pPr>
  </w:style>
  <w:style w:type="paragraph" w:customStyle="1" w:styleId="af2">
    <w:name w:val="章标题"/>
    <w:next w:val="ae"/>
    <w:qFormat/>
    <w:pPr>
      <w:spacing w:beforeLines="50" w:before="50" w:afterLines="50" w:after="50"/>
      <w:jc w:val="both"/>
      <w:outlineLvl w:val="1"/>
    </w:pPr>
    <w:rPr>
      <w:rFonts w:ascii="黑体" w:eastAsia="黑体"/>
      <w:sz w:val="21"/>
    </w:rPr>
  </w:style>
  <w:style w:type="paragraph" w:customStyle="1" w:styleId="af3">
    <w:name w:val="五级条标题"/>
    <w:basedOn w:val="af4"/>
    <w:next w:val="ae"/>
    <w:pPr>
      <w:outlineLvl w:val="6"/>
    </w:pPr>
  </w:style>
  <w:style w:type="paragraph" w:customStyle="1" w:styleId="af4">
    <w:name w:val="四级条标题"/>
    <w:basedOn w:val="af5"/>
    <w:next w:val="ae"/>
    <w:pPr>
      <w:outlineLvl w:val="5"/>
    </w:pPr>
  </w:style>
  <w:style w:type="paragraph" w:customStyle="1" w:styleId="af5">
    <w:name w:val="三级条标题"/>
    <w:basedOn w:val="af0"/>
    <w:next w:val="ae"/>
    <w:pPr>
      <w:outlineLvl w:val="4"/>
    </w:pPr>
  </w:style>
  <w:style w:type="paragraph" w:customStyle="1" w:styleId="af6">
    <w:name w:val="封面正文"/>
    <w:pPr>
      <w:jc w:val="both"/>
    </w:pPr>
  </w:style>
  <w:style w:type="paragraph" w:customStyle="1" w:styleId="af7">
    <w:name w:val="附录标识"/>
    <w:basedOn w:val="a"/>
    <w:pPr>
      <w:numPr>
        <w:numId w:val="0"/>
      </w:numPr>
      <w:tabs>
        <w:tab w:val="left" w:pos="6405"/>
      </w:tabs>
      <w:spacing w:after="200"/>
    </w:pPr>
    <w:rPr>
      <w:sz w:val="21"/>
    </w:rPr>
  </w:style>
  <w:style w:type="paragraph" w:customStyle="1" w:styleId="a">
    <w:name w:val="前言、引言标题"/>
    <w:next w:val="a0"/>
    <w:qFormat/>
    <w:pPr>
      <w:numPr>
        <w:numId w:val="1"/>
      </w:numPr>
      <w:shd w:val="clear" w:color="FFFFFF" w:fill="FFFFFF"/>
      <w:spacing w:before="640" w:after="560"/>
      <w:jc w:val="center"/>
      <w:outlineLvl w:val="0"/>
    </w:pPr>
    <w:rPr>
      <w:rFonts w:ascii="黑体" w:eastAsia="黑体"/>
      <w:sz w:val="32"/>
    </w:rPr>
  </w:style>
  <w:style w:type="paragraph" w:customStyle="1" w:styleId="af8">
    <w:name w:val="文献分类号"/>
    <w:pPr>
      <w:framePr w:hSpace="180" w:vSpace="180" w:wrap="around" w:hAnchor="margin" w:y="1" w:anchorLock="1"/>
      <w:widowControl w:val="0"/>
      <w:textAlignment w:val="center"/>
    </w:pPr>
    <w:rPr>
      <w:rFonts w:eastAsia="黑体"/>
      <w:sz w:val="21"/>
    </w:rPr>
  </w:style>
  <w:style w:type="paragraph" w:customStyle="1" w:styleId="af9">
    <w:name w:val="发布部门"/>
    <w:next w:val="ae"/>
    <w:pPr>
      <w:framePr w:w="7433" w:h="585" w:hRule="exact" w:hSpace="180" w:vSpace="180" w:wrap="around" w:hAnchor="margin" w:xAlign="center" w:y="14401" w:anchorLock="1"/>
      <w:jc w:val="center"/>
    </w:pPr>
    <w:rPr>
      <w:rFonts w:ascii="宋体"/>
      <w:b/>
      <w:spacing w:val="20"/>
      <w:w w:val="135"/>
      <w:sz w:val="36"/>
    </w:rPr>
  </w:style>
  <w:style w:type="paragraph" w:customStyle="1" w:styleId="afa">
    <w:name w:val="封面标准文稿类别"/>
    <w:pPr>
      <w:spacing w:before="440" w:line="400" w:lineRule="exact"/>
      <w:jc w:val="center"/>
    </w:pPr>
    <w:rPr>
      <w:rFonts w:ascii="宋体"/>
      <w:sz w:val="24"/>
    </w:rPr>
  </w:style>
  <w:style w:type="paragraph" w:customStyle="1" w:styleId="afb">
    <w:name w:val="封面一致性程度标识"/>
    <w:pPr>
      <w:spacing w:before="440" w:line="400" w:lineRule="exact"/>
      <w:jc w:val="center"/>
    </w:pPr>
    <w:rPr>
      <w:rFonts w:ascii="宋体"/>
      <w:sz w:val="28"/>
    </w:rPr>
  </w:style>
  <w:style w:type="paragraph" w:customStyle="1" w:styleId="afc">
    <w:name w:val="发布日期"/>
    <w:pPr>
      <w:framePr w:w="4000" w:h="473" w:hRule="exact" w:hSpace="180" w:vSpace="180" w:wrap="around" w:hAnchor="margin" w:y="13511" w:anchorLock="1"/>
    </w:pPr>
    <w:rPr>
      <w:rFonts w:eastAsia="黑体"/>
      <w:sz w:val="28"/>
    </w:rPr>
  </w:style>
  <w:style w:type="paragraph" w:customStyle="1" w:styleId="afd">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e">
    <w:name w:val="标准书眉_偶数页"/>
    <w:basedOn w:val="a0"/>
    <w:next w:val="a0"/>
    <w:pPr>
      <w:widowControl/>
      <w:tabs>
        <w:tab w:val="center" w:pos="4154"/>
        <w:tab w:val="right" w:pos="8306"/>
      </w:tabs>
      <w:spacing w:after="120"/>
      <w:jc w:val="left"/>
    </w:pPr>
    <w:rPr>
      <w:rFonts w:ascii="宋体" w:hAnsi="宋体"/>
      <w:kern w:val="0"/>
      <w:szCs w:val="20"/>
    </w:rPr>
  </w:style>
  <w:style w:type="paragraph" w:customStyle="1" w:styleId="aff">
    <w:name w:val="封面标准英文名称"/>
    <w:pPr>
      <w:widowControl w:val="0"/>
      <w:spacing w:before="370" w:line="400" w:lineRule="exact"/>
      <w:jc w:val="center"/>
    </w:pPr>
    <w:rPr>
      <w:sz w:val="28"/>
    </w:rPr>
  </w:style>
  <w:style w:type="paragraph" w:customStyle="1" w:styleId="aff0">
    <w:name w:val="附录表标题"/>
    <w:next w:val="a0"/>
    <w:pPr>
      <w:ind w:left="540"/>
      <w:jc w:val="center"/>
      <w:textAlignment w:val="baseline"/>
    </w:pPr>
    <w:rPr>
      <w:rFonts w:ascii="黑体" w:eastAsia="黑体"/>
      <w:kern w:val="21"/>
      <w:sz w:val="21"/>
    </w:rPr>
  </w:style>
  <w:style w:type="paragraph" w:customStyle="1" w:styleId="aff1">
    <w:name w:val="附录二级条标题"/>
    <w:basedOn w:val="Char0"/>
    <w:next w:val="a0"/>
    <w:pPr>
      <w:tabs>
        <w:tab w:val="left" w:pos="360"/>
      </w:tabs>
      <w:outlineLvl w:val="3"/>
    </w:pPr>
  </w:style>
  <w:style w:type="paragraph" w:customStyle="1" w:styleId="aff2">
    <w:name w:val="实施日期"/>
    <w:basedOn w:val="afc"/>
    <w:pPr>
      <w:framePr w:hSpace="0" w:wrap="around" w:xAlign="right"/>
      <w:jc w:val="right"/>
    </w:pPr>
  </w:style>
  <w:style w:type="paragraph" w:customStyle="1" w:styleId="aff3">
    <w:name w:val="封面标准文稿编辑信息"/>
    <w:pPr>
      <w:spacing w:before="180" w:line="180" w:lineRule="exact"/>
      <w:jc w:val="center"/>
    </w:pPr>
    <w:rPr>
      <w:rFonts w:ascii="宋体"/>
      <w:sz w:val="21"/>
    </w:rPr>
  </w:style>
  <w:style w:type="paragraph" w:customStyle="1" w:styleId="aff4">
    <w:name w:val="标准书脚_奇数页"/>
    <w:pPr>
      <w:spacing w:before="120"/>
      <w:jc w:val="right"/>
    </w:pPr>
    <w:rPr>
      <w:sz w:val="18"/>
    </w:rPr>
  </w:style>
  <w:style w:type="paragraph" w:customStyle="1" w:styleId="aff5">
    <w:name w:val="目次、标准名称标题"/>
    <w:basedOn w:val="a0"/>
    <w:next w:val="ae"/>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6">
    <w:name w:val="标准书脚_偶数页"/>
    <w:pPr>
      <w:spacing w:before="120"/>
    </w:pPr>
    <w:rPr>
      <w:sz w:val="18"/>
    </w:rPr>
  </w:style>
  <w:style w:type="paragraph" w:customStyle="1" w:styleId="aff7">
    <w:name w:val="标准称谓"/>
    <w:next w:val="a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styleId="aff8">
    <w:name w:val="List Paragraph"/>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header" Target="head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505</Words>
  <Characters>2882</Characters>
  <Application>Microsoft Office Word</Application>
  <DocSecurity>0</DocSecurity>
  <Lines>24</Lines>
  <Paragraphs>6</Paragraphs>
  <ScaleCrop>false</ScaleCrop>
  <Company>ridci</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jiang</dc:creator>
  <cp:lastModifiedBy>李 晓辉</cp:lastModifiedBy>
  <cp:revision>12</cp:revision>
  <cp:lastPrinted>2011-03-11T06:56:00Z</cp:lastPrinted>
  <dcterms:created xsi:type="dcterms:W3CDTF">2021-08-04T01:14:00Z</dcterms:created>
  <dcterms:modified xsi:type="dcterms:W3CDTF">2021-09-06T07:56:00Z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2AF02482E00840A5B91BD41F765C052F</vt:lpwstr>
  </property>
</Properties>
</file>