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rPr>
        <w:t>国家标准《</w:t>
      </w:r>
      <w:r>
        <w:rPr>
          <w:rFonts w:hint="eastAsia" w:ascii="宋体" w:hAnsi="宋体"/>
          <w:b/>
          <w:sz w:val="32"/>
          <w:szCs w:val="32"/>
          <w:lang w:val="en-US" w:eastAsia="zh-CN"/>
        </w:rPr>
        <w:t>免洗洗手液</w:t>
      </w:r>
      <w:r>
        <w:rPr>
          <w:rFonts w:hint="eastAsia" w:ascii="宋体" w:hAnsi="宋体"/>
          <w:b/>
          <w:sz w:val="32"/>
          <w:szCs w:val="32"/>
        </w:rPr>
        <w:t>》编制说明</w:t>
      </w:r>
    </w:p>
    <w:p>
      <w:pPr>
        <w:spacing w:before="156" w:beforeLines="50" w:after="156" w:afterLines="50"/>
        <w:rPr>
          <w:rFonts w:ascii="宋体" w:hAnsi="宋体"/>
          <w:b/>
          <w:szCs w:val="21"/>
        </w:rPr>
      </w:pPr>
      <w:r>
        <w:rPr>
          <w:rFonts w:hint="eastAsia" w:ascii="宋体" w:hAnsi="宋体"/>
          <w:b/>
          <w:szCs w:val="21"/>
        </w:rPr>
        <w:t>一、任务来源</w:t>
      </w:r>
    </w:p>
    <w:p>
      <w:pPr>
        <w:rPr>
          <w:rFonts w:ascii="宋体" w:hAnsi="宋体"/>
          <w:b/>
          <w:bCs/>
          <w:szCs w:val="21"/>
        </w:rPr>
      </w:pPr>
      <w:r>
        <w:rPr>
          <w:rFonts w:hint="eastAsia" w:ascii="宋体" w:hAnsi="宋体"/>
          <w:b/>
          <w:bCs/>
          <w:szCs w:val="21"/>
        </w:rPr>
        <w:t>1、任务来源</w:t>
      </w:r>
    </w:p>
    <w:p>
      <w:pPr>
        <w:ind w:firstLine="420" w:firstLineChars="200"/>
        <w:rPr>
          <w:rFonts w:ascii="宋体" w:hAnsi="宋体"/>
          <w:szCs w:val="21"/>
        </w:rPr>
      </w:pPr>
      <w:r>
        <w:rPr>
          <w:rFonts w:hint="eastAsia" w:ascii="宋体" w:hAnsi="宋体"/>
          <w:szCs w:val="21"/>
        </w:rPr>
        <w:t>本项目</w:t>
      </w:r>
      <w:r>
        <w:rPr>
          <w:rFonts w:hint="eastAsia" w:ascii="宋体" w:hAnsi="宋体"/>
          <w:szCs w:val="21"/>
          <w:lang w:val="en-US" w:eastAsia="zh-CN"/>
        </w:rPr>
        <w:t>根据</w:t>
      </w:r>
      <w:r>
        <w:rPr>
          <w:rFonts w:hint="eastAsia" w:ascii="宋体" w:hAnsi="宋体"/>
          <w:szCs w:val="21"/>
        </w:rPr>
        <w:t>国家标准化管理委员</w:t>
      </w:r>
      <w:r>
        <w:rPr>
          <w:rFonts w:hint="eastAsia" w:ascii="宋体" w:hAnsi="宋体"/>
          <w:szCs w:val="21"/>
          <w:lang w:val="en-US" w:eastAsia="zh-CN"/>
        </w:rPr>
        <w:t>制修订计划制定，</w:t>
      </w:r>
      <w:r>
        <w:rPr>
          <w:rFonts w:hint="eastAsia" w:ascii="宋体" w:hAnsi="宋体"/>
          <w:szCs w:val="21"/>
        </w:rPr>
        <w:t>项目编号</w:t>
      </w:r>
      <w:r>
        <w:rPr>
          <w:rFonts w:hint="eastAsia" w:ascii="宋体" w:hAnsi="宋体"/>
          <w:szCs w:val="21"/>
          <w:lang w:eastAsia="zh-CN"/>
        </w:rPr>
        <w:t>20213468-T-607，</w:t>
      </w:r>
      <w:r>
        <w:rPr>
          <w:rFonts w:hint="eastAsia" w:ascii="宋体" w:hAnsi="宋体"/>
          <w:szCs w:val="21"/>
        </w:rPr>
        <w:t>项目名称《</w:t>
      </w:r>
      <w:r>
        <w:rPr>
          <w:rFonts w:hint="eastAsia" w:ascii="宋体" w:hAnsi="宋体"/>
          <w:szCs w:val="21"/>
          <w:lang w:val="en-US" w:eastAsia="zh-CN"/>
        </w:rPr>
        <w:t>免洗洗手液</w:t>
      </w:r>
      <w:r>
        <w:rPr>
          <w:rFonts w:hint="eastAsia" w:ascii="宋体" w:hAnsi="宋体"/>
          <w:szCs w:val="21"/>
        </w:rPr>
        <w:t>》。主要起草单位：。</w:t>
      </w:r>
    </w:p>
    <w:p>
      <w:pPr>
        <w:rPr>
          <w:rFonts w:ascii="ˎ̥" w:hAnsi="ˎ̥"/>
          <w:b/>
          <w:szCs w:val="21"/>
        </w:rPr>
      </w:pPr>
      <w:r>
        <w:rPr>
          <w:rFonts w:ascii="ˎ̥" w:hAnsi="ˎ̥"/>
          <w:b/>
          <w:szCs w:val="21"/>
        </w:rPr>
        <w:t>2</w:t>
      </w:r>
      <w:r>
        <w:rPr>
          <w:rFonts w:hint="eastAsia" w:ascii="ˎ̥" w:hAnsi="ˎ̥"/>
          <w:b/>
          <w:szCs w:val="21"/>
        </w:rPr>
        <w:t>、主要工作过程</w:t>
      </w:r>
    </w:p>
    <w:p>
      <w:pPr>
        <w:ind w:left="2" w:leftChars="1" w:firstLine="422" w:firstLineChars="200"/>
        <w:rPr>
          <w:rFonts w:ascii="宋体" w:hAnsi="宋体"/>
          <w:bCs/>
        </w:rPr>
      </w:pPr>
      <w:r>
        <w:rPr>
          <w:rFonts w:hint="eastAsia" w:ascii="ˎ̥" w:hAnsi="ˎ̥"/>
          <w:b/>
          <w:szCs w:val="21"/>
        </w:rPr>
        <w:t>起草阶段：</w:t>
      </w:r>
      <w:r>
        <w:rPr>
          <w:rFonts w:hint="eastAsia" w:ascii="ˎ̥" w:hAnsi="ˎ̥"/>
          <w:szCs w:val="21"/>
        </w:rPr>
        <w:t>标准计划获得项目立项后，</w:t>
      </w:r>
      <w:r>
        <w:rPr>
          <w:rFonts w:hint="eastAsia" w:ascii="ˎ̥" w:hAnsi="ˎ̥"/>
          <w:szCs w:val="21"/>
          <w:lang w:val="en-US" w:eastAsia="zh-CN"/>
        </w:rPr>
        <w:t>2021年10月</w:t>
      </w:r>
      <w:r>
        <w:rPr>
          <w:rFonts w:hint="eastAsia" w:ascii="宋体" w:hAnsi="宋体"/>
        </w:rPr>
        <w:t>全国表面活性剂和洗涤用品标准化技术委员会成立标准起草工作组。工作组对当前国内外</w:t>
      </w:r>
      <w:r>
        <w:rPr>
          <w:rFonts w:hint="eastAsia" w:ascii="宋体" w:hAnsi="宋体"/>
          <w:lang w:val="en-US" w:eastAsia="zh-CN"/>
        </w:rPr>
        <w:t>免洗洗手液产品</w:t>
      </w:r>
      <w:r>
        <w:rPr>
          <w:rFonts w:hint="eastAsia" w:ascii="宋体" w:hAnsi="宋体"/>
        </w:rPr>
        <w:t>的现状与发展情况进行全面调研，同时广泛搜集和检索了国内外</w:t>
      </w:r>
      <w:r>
        <w:rPr>
          <w:rFonts w:hint="eastAsia" w:ascii="宋体" w:hAnsi="宋体"/>
          <w:lang w:val="en-US" w:eastAsia="zh-CN"/>
        </w:rPr>
        <w:t>相关厂家</w:t>
      </w:r>
      <w:r>
        <w:rPr>
          <w:rFonts w:hint="eastAsia" w:ascii="宋体" w:hAnsi="宋体"/>
        </w:rPr>
        <w:t>资料，并进行了大量的研究分析、资料查证工作。经标委会相关单位专家研讨后，对标准草案初稿进行了认真的修改，于20</w:t>
      </w:r>
      <w:r>
        <w:rPr>
          <w:rFonts w:hint="eastAsia" w:ascii="宋体" w:hAnsi="宋体"/>
          <w:lang w:val="en-US" w:eastAsia="zh-CN"/>
        </w:rPr>
        <w:t>22</w:t>
      </w:r>
      <w:r>
        <w:rPr>
          <w:rFonts w:hint="eastAsia" w:ascii="宋体" w:hAnsi="宋体"/>
        </w:rPr>
        <w:t>年</w:t>
      </w:r>
      <w:r>
        <w:rPr>
          <w:rFonts w:hint="eastAsia" w:ascii="宋体" w:hAnsi="宋体"/>
          <w:lang w:val="en-US" w:eastAsia="zh-CN"/>
        </w:rPr>
        <w:t>07</w:t>
      </w:r>
      <w:r>
        <w:rPr>
          <w:rFonts w:hint="eastAsia" w:ascii="宋体" w:hAnsi="宋体"/>
        </w:rPr>
        <w:t>月形成标准征求意见稿，报标委会秘书处。</w:t>
      </w:r>
    </w:p>
    <w:p>
      <w:pPr>
        <w:rPr>
          <w:rFonts w:ascii="ˎ̥" w:hAnsi="ˎ̥"/>
          <w:b/>
          <w:szCs w:val="21"/>
        </w:rPr>
      </w:pPr>
      <w:r>
        <w:rPr>
          <w:rFonts w:ascii="ˎ̥" w:hAnsi="ˎ̥"/>
          <w:b/>
          <w:szCs w:val="21"/>
        </w:rPr>
        <w:t>3</w:t>
      </w:r>
      <w:r>
        <w:rPr>
          <w:rFonts w:hint="eastAsia" w:ascii="ˎ̥" w:hAnsi="ˎ̥"/>
          <w:b/>
          <w:szCs w:val="21"/>
        </w:rPr>
        <w:t>、主要参加单位和工作组成员</w:t>
      </w:r>
    </w:p>
    <w:p>
      <w:pPr>
        <w:ind w:left="2" w:leftChars="1" w:firstLine="420" w:firstLineChars="200"/>
        <w:rPr>
          <w:rFonts w:ascii="ˎ̥" w:hAnsi="ˎ̥"/>
          <w:szCs w:val="21"/>
        </w:rPr>
      </w:pPr>
      <w:r>
        <w:rPr>
          <w:rFonts w:hint="eastAsia" w:ascii="ˎ̥" w:hAnsi="ˎ̥"/>
          <w:szCs w:val="21"/>
        </w:rPr>
        <w:t>主要起草单位：</w:t>
      </w:r>
    </w:p>
    <w:p>
      <w:pPr>
        <w:ind w:left="2" w:leftChars="1" w:firstLine="420" w:firstLineChars="200"/>
        <w:rPr>
          <w:rFonts w:ascii="ˎ̥" w:hAnsi="ˎ̥"/>
          <w:szCs w:val="21"/>
        </w:rPr>
      </w:pPr>
      <w:r>
        <w:rPr>
          <w:rFonts w:hint="eastAsia" w:ascii="ˎ̥" w:hAnsi="ˎ̥"/>
          <w:szCs w:val="21"/>
        </w:rPr>
        <w:t>工作组成员：。</w:t>
      </w:r>
    </w:p>
    <w:p>
      <w:pPr>
        <w:ind w:left="2" w:leftChars="1" w:firstLine="420" w:firstLineChars="200"/>
        <w:rPr>
          <w:rFonts w:ascii="宋体" w:hAnsi="宋体"/>
          <w:szCs w:val="21"/>
        </w:rPr>
      </w:pPr>
      <w:r>
        <w:rPr>
          <w:rFonts w:hint="eastAsia" w:ascii="ˎ̥" w:hAnsi="ˎ̥"/>
          <w:szCs w:val="21"/>
        </w:rPr>
        <w:t>所做的工作：</w:t>
      </w:r>
      <w:r>
        <w:rPr>
          <w:rFonts w:hint="eastAsia" w:ascii="ˎ̥" w:hAnsi="ˎ̥"/>
          <w:szCs w:val="21"/>
          <w:lang w:val="en-US" w:eastAsia="zh-CN"/>
        </w:rPr>
        <w:t>***</w:t>
      </w:r>
      <w:r>
        <w:rPr>
          <w:rFonts w:hint="eastAsia" w:ascii="ˎ̥" w:hAnsi="ˎ̥"/>
          <w:szCs w:val="21"/>
        </w:rPr>
        <w:t>任工作组组长，主持全面协调工作；</w:t>
      </w:r>
      <w:r>
        <w:rPr>
          <w:rFonts w:hint="eastAsia" w:hAnsi="宋体"/>
          <w:szCs w:val="21"/>
          <w:lang w:val="en-US" w:eastAsia="zh-CN"/>
        </w:rPr>
        <w:t>***</w:t>
      </w:r>
      <w:r>
        <w:rPr>
          <w:rFonts w:hint="eastAsia" w:ascii="ˎ̥" w:hAnsi="ˎ̥"/>
          <w:szCs w:val="21"/>
        </w:rPr>
        <w:t>为本标准主要持笔人，负责本标准的起草、编写；</w:t>
      </w:r>
      <w:r>
        <w:rPr>
          <w:rFonts w:hint="eastAsia" w:hAnsi="宋体"/>
          <w:szCs w:val="21"/>
          <w:lang w:val="en-US" w:eastAsia="zh-CN"/>
        </w:rPr>
        <w:t>***</w:t>
      </w:r>
      <w:r>
        <w:rPr>
          <w:rFonts w:hint="eastAsia" w:ascii="ˎ̥" w:hAnsi="ˎ̥"/>
          <w:szCs w:val="21"/>
        </w:rPr>
        <w:t>为组员负责对国内外相关试验方法技术的现状与发展情况进行全面调研，同时广泛搜集和检索国内外相关技术资料，进行研究分析、资料查证工作。</w:t>
      </w:r>
    </w:p>
    <w:p>
      <w:pPr>
        <w:spacing w:before="156" w:beforeLines="50" w:after="156" w:afterLines="50"/>
        <w:rPr>
          <w:rFonts w:ascii="宋体" w:hAnsi="宋体"/>
          <w:b/>
          <w:szCs w:val="21"/>
        </w:rPr>
      </w:pPr>
      <w:r>
        <w:rPr>
          <w:rFonts w:hint="eastAsia" w:ascii="宋体" w:hAnsi="宋体"/>
          <w:b/>
          <w:szCs w:val="21"/>
        </w:rPr>
        <w:t>二、标准编制原则和主要内容</w:t>
      </w:r>
    </w:p>
    <w:p>
      <w:pPr>
        <w:autoSpaceDE w:val="0"/>
        <w:autoSpaceDN w:val="0"/>
        <w:adjustRightInd w:val="0"/>
        <w:snapToGrid w:val="0"/>
        <w:spacing w:before="62" w:beforeLines="20" w:after="62" w:afterLines="20"/>
        <w:jc w:val="left"/>
        <w:rPr>
          <w:rFonts w:ascii="ˎ̥" w:hAnsi="ˎ̥"/>
          <w:b/>
          <w:szCs w:val="21"/>
        </w:rPr>
      </w:pPr>
      <w:r>
        <w:rPr>
          <w:rFonts w:ascii="ˎ̥" w:hAnsi="ˎ̥"/>
          <w:b/>
          <w:szCs w:val="21"/>
        </w:rPr>
        <w:t>1</w:t>
      </w:r>
      <w:r>
        <w:rPr>
          <w:rFonts w:hint="eastAsia" w:ascii="ˎ̥" w:hAnsi="ˎ̥"/>
          <w:b/>
          <w:szCs w:val="21"/>
        </w:rPr>
        <w:t>、标准编制原则</w:t>
      </w:r>
    </w:p>
    <w:p>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的修订符合产业发展的原则，本着先进性、科学性、合理性和可操作性的原则以及标准的目标、统一性、协调性、适用性、一致性和规范性原则来进行本标准的制定工作。</w:t>
      </w:r>
    </w:p>
    <w:p>
      <w:pPr>
        <w:ind w:firstLine="420" w:firstLineChars="200"/>
        <w:rPr>
          <w:rFonts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起草过程中，主要按GB/T 1.1－2020《标准化工作导则 第1部分：标准的结构和编写》和GB/T 1.2－2002《标准化工作导则 第2部分：标准中规范性技术要素内容的确定方法》进行编写。该标准制定过程中主要参考了</w:t>
      </w:r>
      <w:bookmarkStart w:id="0" w:name="_Hlk26538757"/>
      <w:r>
        <w:rPr>
          <w:rFonts w:hint="eastAsia" w:ascii="宋体" w:hAnsi="宋体"/>
          <w:szCs w:val="21"/>
        </w:rPr>
        <w:t>以下标准或文件：</w:t>
      </w:r>
    </w:p>
    <w:bookmarkEnd w:id="0"/>
    <w:p>
      <w:pPr>
        <w:pStyle w:val="27"/>
        <w:spacing w:line="300" w:lineRule="auto"/>
        <w:ind w:firstLine="420"/>
      </w:pPr>
      <w:r>
        <w:rPr>
          <w:rFonts w:hint="eastAsia"/>
        </w:rPr>
        <w:t>GB/T 36970 消费品使用说明  洗涤用品标签</w:t>
      </w:r>
    </w:p>
    <w:p>
      <w:pPr>
        <w:pStyle w:val="27"/>
        <w:spacing w:line="300" w:lineRule="auto"/>
        <w:ind w:firstLine="420"/>
      </w:pPr>
      <w:r>
        <w:t xml:space="preserve">QB/T </w:t>
      </w:r>
      <w:r>
        <w:rPr>
          <w:rFonts w:hint="eastAsia"/>
        </w:rPr>
        <w:t>2738 日化产品抗菌抑菌效果的评价方法</w:t>
      </w:r>
    </w:p>
    <w:p>
      <w:pPr>
        <w:autoSpaceDE w:val="0"/>
        <w:autoSpaceDN w:val="0"/>
        <w:adjustRightInd w:val="0"/>
        <w:spacing w:line="300" w:lineRule="auto"/>
        <w:ind w:firstLine="420" w:firstLineChars="200"/>
        <w:jc w:val="left"/>
        <w:rPr>
          <w:rFonts w:ascii="宋体"/>
          <w:kern w:val="0"/>
          <w:szCs w:val="20"/>
        </w:rPr>
      </w:pPr>
      <w:r>
        <w:rPr>
          <w:rFonts w:ascii="宋体"/>
          <w:kern w:val="0"/>
          <w:szCs w:val="20"/>
        </w:rPr>
        <w:t xml:space="preserve">QB/T 2951 </w:t>
      </w:r>
      <w:r>
        <w:rPr>
          <w:rFonts w:hint="eastAsia" w:ascii="宋体"/>
          <w:kern w:val="0"/>
          <w:szCs w:val="20"/>
        </w:rPr>
        <w:t>洗涤用品检验规则</w:t>
      </w:r>
    </w:p>
    <w:p>
      <w:pPr>
        <w:pStyle w:val="27"/>
        <w:spacing w:line="300" w:lineRule="auto"/>
        <w:ind w:firstLine="420"/>
      </w:pPr>
      <w:r>
        <w:t xml:space="preserve">QB/T 2952 </w:t>
      </w:r>
      <w:r>
        <w:rPr>
          <w:rFonts w:hint="eastAsia"/>
        </w:rPr>
        <w:t>洗涤用品标识和包装要求</w:t>
      </w:r>
    </w:p>
    <w:p>
      <w:pPr>
        <w:pStyle w:val="27"/>
        <w:spacing w:line="300" w:lineRule="auto"/>
        <w:ind w:firstLine="420"/>
        <w:rPr>
          <w:rFonts w:hint="eastAsia" w:eastAsia="宋体"/>
          <w:lang w:eastAsia="zh-CN"/>
        </w:rPr>
      </w:pPr>
      <w:r>
        <w:rPr>
          <w:rFonts w:hint="eastAsia"/>
        </w:rPr>
        <w:t>化妆品安全技术规范</w:t>
      </w:r>
      <w:r>
        <w:rPr>
          <w:rFonts w:hint="eastAsia"/>
          <w:lang w:eastAsia="zh-CN"/>
        </w:rPr>
        <w:t>（</w:t>
      </w:r>
      <w:r>
        <w:rPr>
          <w:rFonts w:hint="eastAsia"/>
          <w:lang w:val="en-US" w:eastAsia="zh-CN"/>
        </w:rPr>
        <w:t>2015年版</w:t>
      </w:r>
      <w:r>
        <w:rPr>
          <w:rFonts w:hint="eastAsia"/>
          <w:lang w:eastAsia="zh-CN"/>
        </w:rPr>
        <w:t>）</w:t>
      </w:r>
    </w:p>
    <w:p>
      <w:pPr>
        <w:pStyle w:val="27"/>
        <w:ind w:firstLine="420"/>
        <w:rPr>
          <w:color w:val="000000"/>
          <w:szCs w:val="21"/>
        </w:rPr>
      </w:pPr>
      <w:r>
        <w:rPr>
          <w:rFonts w:hint="eastAsia"/>
          <w:lang w:val="en-US" w:eastAsia="zh-CN"/>
        </w:rPr>
        <w:t>消毒技术规范</w:t>
      </w:r>
      <w:r>
        <w:rPr>
          <w:rFonts w:hint="eastAsia"/>
          <w:lang w:eastAsia="zh-CN"/>
        </w:rPr>
        <w:t>（</w:t>
      </w:r>
      <w:r>
        <w:rPr>
          <w:rFonts w:hint="eastAsia"/>
        </w:rPr>
        <w:t>20</w:t>
      </w:r>
      <w:r>
        <w:rPr>
          <w:rFonts w:hint="eastAsia"/>
          <w:lang w:val="en-US" w:eastAsia="zh-CN"/>
        </w:rPr>
        <w:t>02</w:t>
      </w:r>
      <w:r>
        <w:rPr>
          <w:rFonts w:hint="eastAsia"/>
        </w:rPr>
        <w:t>年版</w:t>
      </w:r>
      <w:r>
        <w:rPr>
          <w:rFonts w:hint="eastAsia"/>
          <w:lang w:eastAsia="zh-CN"/>
        </w:rPr>
        <w:t>）</w:t>
      </w:r>
    </w:p>
    <w:p>
      <w:pPr>
        <w:autoSpaceDE w:val="0"/>
        <w:autoSpaceDN w:val="0"/>
        <w:adjustRightInd w:val="0"/>
        <w:snapToGrid w:val="0"/>
        <w:spacing w:before="62" w:beforeLines="20" w:after="62" w:afterLines="20"/>
        <w:jc w:val="left"/>
        <w:rPr>
          <w:rFonts w:ascii="ˎ̥" w:hAnsi="ˎ̥"/>
          <w:b/>
          <w:szCs w:val="21"/>
        </w:rPr>
      </w:pPr>
      <w:r>
        <w:rPr>
          <w:rFonts w:hint="eastAsia" w:ascii="ˎ̥" w:hAnsi="ˎ̥"/>
          <w:b/>
          <w:szCs w:val="21"/>
        </w:rPr>
        <w:t>2、标准主要内容</w:t>
      </w:r>
    </w:p>
    <w:p>
      <w:pPr>
        <w:pStyle w:val="27"/>
        <w:spacing w:line="300" w:lineRule="auto"/>
        <w:ind w:firstLine="420"/>
      </w:pPr>
      <w:r>
        <w:rPr>
          <w:rFonts w:hint="eastAsia"/>
        </w:rPr>
        <w:t>本文件规定了</w:t>
      </w:r>
      <w:r>
        <w:rPr>
          <w:rFonts w:hint="eastAsia"/>
          <w:lang w:val="en-US" w:eastAsia="zh-CN"/>
        </w:rPr>
        <w:t>免洗洗手液</w:t>
      </w:r>
      <w:r>
        <w:rPr>
          <w:rFonts w:hint="eastAsia"/>
        </w:rPr>
        <w:t>的技术要求、试验方法、检验规则和标志、包装、运输、贮存要求。</w:t>
      </w:r>
    </w:p>
    <w:p>
      <w:pPr>
        <w:ind w:firstLine="420"/>
      </w:pPr>
      <w:r>
        <w:rPr>
          <w:rFonts w:hint="eastAsia"/>
        </w:rPr>
        <w:t>本文件适用于本文件适用于清洁</w:t>
      </w:r>
      <w:r>
        <w:rPr>
          <w:rFonts w:hint="eastAsia"/>
          <w:lang w:val="en-US" w:eastAsia="zh-CN"/>
        </w:rPr>
        <w:t>手部</w:t>
      </w:r>
      <w:r>
        <w:rPr>
          <w:rFonts w:hint="eastAsia"/>
        </w:rPr>
        <w:t>的非水洗型</w:t>
      </w:r>
      <w:r>
        <w:rPr>
          <w:rFonts w:hint="eastAsia"/>
          <w:lang w:val="en-US" w:eastAsia="zh-CN"/>
        </w:rPr>
        <w:t>产品</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1</w:t>
      </w:r>
      <w:r>
        <w:rPr>
          <w:rFonts w:hint="eastAsia" w:ascii="黑体" w:hAnsi="黑体" w:eastAsia="黑体"/>
          <w:szCs w:val="21"/>
        </w:rPr>
        <w:t>产品分类</w:t>
      </w:r>
    </w:p>
    <w:p>
      <w:pPr>
        <w:pStyle w:val="27"/>
        <w:spacing w:line="320" w:lineRule="exact"/>
        <w:ind w:firstLine="420"/>
      </w:pPr>
      <w:r>
        <w:rPr>
          <w:rFonts w:hint="eastAsia"/>
          <w:lang w:val="en-US" w:eastAsia="zh-CN"/>
        </w:rPr>
        <w:t>本文件按照有效成分将免洗洗手液分为乙醇类及非乙醇类</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要求</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1</w:t>
      </w:r>
      <w:r>
        <w:rPr>
          <w:rFonts w:hint="eastAsia" w:ascii="黑体" w:hAnsi="黑体" w:eastAsia="黑体"/>
          <w:szCs w:val="21"/>
          <w:lang w:val="en-US" w:eastAsia="zh-CN"/>
        </w:rPr>
        <w:t>感</w:t>
      </w:r>
      <w:r>
        <w:rPr>
          <w:rFonts w:hint="eastAsia" w:ascii="黑体" w:hAnsi="黑体" w:eastAsia="黑体"/>
          <w:szCs w:val="21"/>
        </w:rPr>
        <w:t>观</w:t>
      </w:r>
      <w:r>
        <w:rPr>
          <w:rFonts w:hint="eastAsia" w:ascii="黑体" w:hAnsi="黑体" w:eastAsia="黑体"/>
          <w:szCs w:val="21"/>
          <w:lang w:val="en-US" w:eastAsia="zh-CN"/>
        </w:rPr>
        <w:t>指标</w:t>
      </w:r>
    </w:p>
    <w:p>
      <w:pPr>
        <w:ind w:firstLine="420" w:firstLineChars="200"/>
        <w:rPr>
          <w:rFonts w:hint="eastAsia" w:ascii="宋体" w:hAnsi="宋体"/>
          <w:bCs/>
          <w:szCs w:val="21"/>
          <w:lang w:val="en-US" w:eastAsia="zh-CN"/>
        </w:rPr>
      </w:pPr>
      <w:r>
        <w:rPr>
          <w:rFonts w:hint="eastAsia" w:ascii="宋体" w:hAnsi="宋体"/>
          <w:bCs/>
          <w:szCs w:val="21"/>
          <w:lang w:val="en-US" w:eastAsia="zh-CN"/>
        </w:rPr>
        <w:t>参考GB/T 34855-2017《洗手液》对产品的外观和气味进行了规定。同时考虑免洗洗手液可能含有乙醇的情况，特别规定了乙醇类的免洗洗手液有醇类的特定气味。</w:t>
      </w:r>
    </w:p>
    <w:p>
      <w:pPr>
        <w:ind w:firstLine="420" w:firstLineChars="200"/>
        <w:rPr>
          <w:rFonts w:hint="default" w:ascii="宋体" w:hAnsi="宋体"/>
          <w:szCs w:val="21"/>
          <w:lang w:val="en-US"/>
        </w:rPr>
      </w:pPr>
      <w:r>
        <w:rPr>
          <w:rFonts w:hint="eastAsia" w:ascii="宋体" w:hAnsi="宋体"/>
          <w:bCs/>
          <w:szCs w:val="21"/>
          <w:lang w:val="en-US" w:eastAsia="zh-CN"/>
        </w:rPr>
        <w:t>参考GB/T 34855-2017《洗手液》对产品的稳定性进行了规定，同时对状态描述修改为“与试验前相比无明显变化”。</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2</w:t>
      </w:r>
      <w:r>
        <w:rPr>
          <w:rFonts w:hint="eastAsia" w:ascii="黑体" w:hAnsi="黑体" w:eastAsia="黑体"/>
          <w:szCs w:val="21"/>
        </w:rPr>
        <w:t>理化</w:t>
      </w:r>
      <w:r>
        <w:rPr>
          <w:rFonts w:hint="eastAsia" w:ascii="黑体" w:hAnsi="黑体" w:eastAsia="黑体"/>
          <w:szCs w:val="21"/>
          <w:lang w:val="en-US" w:eastAsia="zh-CN"/>
        </w:rPr>
        <w:t>指标</w:t>
      </w:r>
    </w:p>
    <w:p>
      <w:pPr>
        <w:ind w:firstLine="420" w:firstLineChars="200"/>
        <w:rPr>
          <w:rFonts w:hint="eastAsia" w:ascii="宋体" w:hAnsi="宋体"/>
          <w:szCs w:val="21"/>
        </w:rPr>
      </w:pPr>
      <w:r>
        <w:rPr>
          <w:rFonts w:hint="eastAsia" w:ascii="宋体" w:hAnsi="宋体"/>
          <w:szCs w:val="21"/>
          <w:lang w:val="en-US" w:eastAsia="zh-CN"/>
        </w:rPr>
        <w:t>考虑到免洗洗手液的使用特点，初步</w:t>
      </w:r>
      <w:r>
        <w:rPr>
          <w:rFonts w:hint="eastAsia" w:ascii="宋体" w:hAnsi="宋体"/>
          <w:szCs w:val="21"/>
        </w:rPr>
        <w:t>确定</w:t>
      </w:r>
      <w:r>
        <w:rPr>
          <w:rFonts w:hint="eastAsia" w:ascii="宋体" w:hAnsi="宋体"/>
          <w:szCs w:val="21"/>
          <w:lang w:val="en-US" w:eastAsia="zh-CN"/>
        </w:rPr>
        <w:t>免洗洗手液</w:t>
      </w:r>
      <w:r>
        <w:rPr>
          <w:rFonts w:hint="eastAsia" w:ascii="宋体" w:hAnsi="宋体"/>
          <w:szCs w:val="21"/>
        </w:rPr>
        <w:t>的</w:t>
      </w:r>
      <w:r>
        <w:rPr>
          <w:rFonts w:ascii="宋体" w:hAnsi="宋体"/>
          <w:szCs w:val="21"/>
        </w:rPr>
        <w:t>pH</w:t>
      </w:r>
      <w:r>
        <w:rPr>
          <w:rFonts w:hint="eastAsia" w:ascii="宋体" w:hAnsi="宋体"/>
          <w:szCs w:val="21"/>
        </w:rPr>
        <w:t>值指标为：</w:t>
      </w:r>
      <w:r>
        <w:rPr>
          <w:rFonts w:ascii="宋体" w:hAnsi="宋体"/>
          <w:szCs w:val="21"/>
        </w:rPr>
        <w:t>5.5</w:t>
      </w:r>
      <w:r>
        <w:rPr>
          <w:rFonts w:hint="eastAsia" w:ascii="宋体" w:hAnsi="宋体"/>
          <w:szCs w:val="21"/>
        </w:rPr>
        <w:t>～</w:t>
      </w:r>
      <w:r>
        <w:rPr>
          <w:rFonts w:hint="eastAsia" w:ascii="宋体" w:hAnsi="宋体"/>
          <w:szCs w:val="21"/>
          <w:lang w:val="en-US" w:eastAsia="zh-CN"/>
        </w:rPr>
        <w:t>8</w:t>
      </w:r>
      <w:r>
        <w:rPr>
          <w:rFonts w:ascii="宋体" w:hAnsi="宋体"/>
          <w:szCs w:val="21"/>
        </w:rPr>
        <w:t>.5</w:t>
      </w:r>
      <w:r>
        <w:rPr>
          <w:rFonts w:hint="eastAsia" w:ascii="宋体" w:hAnsi="宋体"/>
          <w:szCs w:val="21"/>
        </w:rPr>
        <w:t xml:space="preserve"> （</w:t>
      </w:r>
      <w:r>
        <w:rPr>
          <w:rFonts w:hint="eastAsia" w:ascii="宋体" w:hAnsi="宋体"/>
          <w:szCs w:val="21"/>
          <w:lang w:val="en-US" w:eastAsia="zh-CN"/>
        </w:rPr>
        <w:t>原液</w:t>
      </w:r>
      <w:r>
        <w:rPr>
          <w:rFonts w:hint="eastAsia" w:ascii="宋体" w:hAnsi="宋体"/>
          <w:szCs w:val="21"/>
        </w:rPr>
        <w:t>，25℃）。</w:t>
      </w:r>
    </w:p>
    <w:p>
      <w:pPr>
        <w:ind w:firstLine="420" w:firstLineChars="200"/>
        <w:rPr>
          <w:rFonts w:hint="eastAsia" w:ascii="宋体" w:hAnsi="宋体"/>
          <w:szCs w:val="21"/>
        </w:rPr>
      </w:pPr>
      <w:r>
        <w:rPr>
          <w:rFonts w:hint="eastAsia" w:ascii="宋体" w:hAnsi="宋体"/>
          <w:szCs w:val="21"/>
          <w:lang w:val="en-US" w:eastAsia="zh-CN"/>
        </w:rPr>
        <w:t>乙醇</w:t>
      </w:r>
      <w:r>
        <w:rPr>
          <w:rFonts w:hint="default" w:ascii="宋体" w:hAnsi="宋体"/>
          <w:szCs w:val="21"/>
          <w:lang w:val="en-US" w:eastAsia="zh-CN"/>
        </w:rPr>
        <w:t>含量</w:t>
      </w:r>
      <w:r>
        <w:rPr>
          <w:rFonts w:hint="eastAsia" w:ascii="宋体" w:hAnsi="宋体"/>
          <w:szCs w:val="21"/>
          <w:lang w:val="en-US" w:eastAsia="zh-CN"/>
        </w:rPr>
        <w:t>（V/V）：因为有些免洗洗手液的主要有效成分为乙醇，故确定此技术参数，并确定该指标≥60。</w:t>
      </w:r>
    </w:p>
    <w:p>
      <w:pPr>
        <w:ind w:firstLine="420" w:firstLineChars="200"/>
        <w:rPr>
          <w:rFonts w:ascii="宋体" w:hAnsi="宋体"/>
          <w:szCs w:val="21"/>
        </w:rPr>
      </w:pPr>
      <w:r>
        <w:rPr>
          <w:rFonts w:hint="eastAsia" w:ascii="宋体" w:hAnsi="宋体"/>
          <w:szCs w:val="21"/>
          <w:lang w:val="en-US" w:eastAsia="zh-CN"/>
        </w:rPr>
        <w:t>挥发性：虑到免洗洗手液的使用特点，设立此参数，并规定≤60s。</w:t>
      </w:r>
    </w:p>
    <w:p>
      <w:pPr>
        <w:ind w:firstLine="420" w:firstLineChars="200"/>
        <w:rPr>
          <w:rFonts w:ascii="宋体" w:hAnsi="宋体"/>
          <w:szCs w:val="21"/>
        </w:rPr>
      </w:pPr>
      <w:r>
        <w:rPr>
          <w:rFonts w:hint="eastAsia" w:ascii="宋体" w:hAnsi="宋体"/>
          <w:szCs w:val="21"/>
          <w:lang w:val="en-US" w:eastAsia="zh-CN"/>
        </w:rPr>
        <w:t>甲醛：参照GB/T 34855-2017《洗手液》（甲醛含</w:t>
      </w:r>
      <w:bookmarkStart w:id="1" w:name="_GoBack"/>
      <w:bookmarkEnd w:id="1"/>
      <w:r>
        <w:rPr>
          <w:rFonts w:hint="eastAsia" w:ascii="宋体" w:hAnsi="宋体"/>
          <w:szCs w:val="21"/>
          <w:lang w:val="en-US" w:eastAsia="zh-CN"/>
        </w:rPr>
        <w:t>量≤500mg/kg）并结合产品自身特点，</w:t>
      </w:r>
      <w:r>
        <w:rPr>
          <w:rFonts w:hint="eastAsia" w:ascii="宋体" w:hAnsi="宋体"/>
          <w:szCs w:val="21"/>
        </w:rPr>
        <w:t>对产品的</w:t>
      </w:r>
      <w:r>
        <w:rPr>
          <w:rFonts w:hint="eastAsia" w:ascii="宋体" w:hAnsi="宋体"/>
          <w:szCs w:val="21"/>
          <w:lang w:val="en-US" w:eastAsia="zh-CN"/>
        </w:rPr>
        <w:t>甲醛含量</w:t>
      </w:r>
      <w:r>
        <w:rPr>
          <w:rFonts w:hint="eastAsia" w:ascii="宋体" w:hAnsi="宋体"/>
          <w:szCs w:val="21"/>
        </w:rPr>
        <w:t>规定</w:t>
      </w:r>
      <w:r>
        <w:rPr>
          <w:rFonts w:hint="eastAsia" w:ascii="宋体" w:hAnsi="宋体"/>
          <w:szCs w:val="21"/>
          <w:lang w:val="en-US" w:eastAsia="zh-CN"/>
        </w:rPr>
        <w:t>为≤200mg/kg</w:t>
      </w:r>
      <w:r>
        <w:rPr>
          <w:rFonts w:hint="eastAsia" w:ascii="宋体" w:hAnsi="宋体"/>
          <w:szCs w:val="21"/>
        </w:rPr>
        <w:t>。</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3</w:t>
      </w:r>
      <w:r>
        <w:rPr>
          <w:rFonts w:hint="eastAsia" w:ascii="黑体" w:hAnsi="黑体" w:eastAsia="黑体"/>
          <w:szCs w:val="21"/>
          <w:lang w:val="en-US" w:eastAsia="zh-CN"/>
        </w:rPr>
        <w:t>卫生安全指标</w:t>
      </w:r>
    </w:p>
    <w:p>
      <w:pPr>
        <w:ind w:firstLine="420" w:firstLineChars="200"/>
        <w:rPr>
          <w:rFonts w:hint="eastAsia" w:ascii="宋体" w:hAnsi="宋体"/>
          <w:szCs w:val="21"/>
        </w:rPr>
      </w:pPr>
      <w:r>
        <w:rPr>
          <w:rFonts w:hAnsi="宋体"/>
          <w:szCs w:val="21"/>
          <w:lang w:val="en-US" w:eastAsia="zh-CN"/>
        </w:rPr>
        <w:t xml:space="preserve">微生物学指标 </w:t>
      </w:r>
      <w:r>
        <w:rPr>
          <w:rFonts w:hint="eastAsia" w:hAnsi="宋体"/>
          <w:szCs w:val="21"/>
          <w:lang w:val="en-US" w:eastAsia="zh-CN"/>
        </w:rPr>
        <w:t xml:space="preserve">(菌落总数、霉菌和酵母菌总数、耐热大肠菌群、金黄色葡萄球菌、铜绿假单胞菌)、有害物质(汞、铅、砷、镉、甲醇)：测定及限值要求参照《化妆品安全技术规范(2015年 版)》 规定 </w:t>
      </w:r>
      <w:r>
        <w:rPr>
          <w:rFonts w:hint="eastAsia" w:ascii="宋体" w:hAnsi="宋体"/>
          <w:szCs w:val="21"/>
        </w:rPr>
        <w:t>。</w:t>
      </w:r>
    </w:p>
    <w:p>
      <w:pPr>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2.2.4 杀抑菌指标</w:t>
      </w:r>
    </w:p>
    <w:p>
      <w:pPr>
        <w:ind w:firstLine="420"/>
        <w:rPr>
          <w:rFonts w:hint="default" w:ascii="宋体" w:hAnsi="宋体"/>
          <w:szCs w:val="21"/>
          <w:lang w:val="en-US" w:eastAsia="zh-CN"/>
        </w:rPr>
      </w:pPr>
      <w:r>
        <w:rPr>
          <w:rFonts w:hint="eastAsia" w:ascii="宋体" w:hAnsi="宋体"/>
          <w:szCs w:val="21"/>
          <w:lang w:val="en-US" w:eastAsia="zh-CN"/>
        </w:rPr>
        <w:t>对有特殊指明的抗菌型产品规定杀菌率≥90%，抑菌型产品规定抑菌率≥50%，均采用原液测试，作用时间2min。</w:t>
      </w:r>
    </w:p>
    <w:p>
      <w:pPr>
        <w:rPr>
          <w:rFonts w:ascii="黑体" w:hAnsi="黑体" w:eastAsia="黑体"/>
          <w:szCs w:val="21"/>
        </w:rPr>
      </w:pPr>
      <w:r>
        <w:rPr>
          <w:rFonts w:hint="eastAsia" w:ascii="黑体" w:hAnsi="黑体" w:eastAsia="黑体"/>
          <w:szCs w:val="21"/>
        </w:rPr>
        <w:t>2.</w:t>
      </w:r>
      <w:r>
        <w:rPr>
          <w:rFonts w:ascii="黑体" w:hAnsi="黑体" w:eastAsia="黑体"/>
          <w:szCs w:val="21"/>
        </w:rPr>
        <w:t>3</w:t>
      </w:r>
      <w:r>
        <w:rPr>
          <w:rFonts w:hint="eastAsia" w:ascii="黑体" w:hAnsi="黑体" w:eastAsia="黑体"/>
          <w:szCs w:val="21"/>
        </w:rPr>
        <w:t>试验方法</w:t>
      </w:r>
    </w:p>
    <w:p>
      <w:pPr>
        <w:ind w:firstLine="420" w:firstLineChars="200"/>
        <w:rPr>
          <w:rFonts w:hint="eastAsia" w:ascii="宋体" w:hAnsi="宋体"/>
          <w:kern w:val="0"/>
          <w:szCs w:val="21"/>
          <w:lang w:val="en-US" w:eastAsia="zh-CN"/>
        </w:rPr>
      </w:pPr>
      <w:r>
        <w:rPr>
          <w:rFonts w:hint="eastAsia"/>
        </w:rPr>
        <w:t>按</w:t>
      </w:r>
      <w:r>
        <w:rPr>
          <w:rFonts w:hint="eastAsia"/>
          <w:lang w:val="en-US" w:eastAsia="zh-CN"/>
        </w:rPr>
        <w:t>照</w:t>
      </w:r>
      <w:r>
        <w:rPr>
          <w:rFonts w:hint="eastAsia"/>
        </w:rPr>
        <w:t>《化妆品安全技术规范》(</w:t>
      </w:r>
      <w:r>
        <w:rPr>
          <w:rFonts w:hint="default" w:ascii="Times New Roman" w:hAnsi="Times New Roman" w:cs="Times New Roman"/>
        </w:rPr>
        <w:t>2015</w:t>
      </w:r>
      <w:r>
        <w:rPr>
          <w:rFonts w:hint="eastAsia"/>
        </w:rPr>
        <w:t>年版)</w:t>
      </w:r>
      <w:r>
        <w:rPr>
          <w:rFonts w:ascii="宋体" w:hAnsi="宋体"/>
          <w:color w:val="FF0000"/>
          <w:kern w:val="0"/>
          <w:szCs w:val="21"/>
        </w:rPr>
        <w:t xml:space="preserve"> </w:t>
      </w:r>
      <w:r>
        <w:rPr>
          <w:rFonts w:hint="eastAsia" w:ascii="宋体" w:hAnsi="宋体"/>
          <w:color w:val="auto"/>
          <w:kern w:val="0"/>
          <w:szCs w:val="21"/>
          <w:lang w:val="en-US" w:eastAsia="zh-CN"/>
        </w:rPr>
        <w:t>进行pH、甲醛及卫生</w:t>
      </w:r>
      <w:r>
        <w:rPr>
          <w:rFonts w:hint="eastAsia" w:ascii="宋体" w:hAnsi="宋体"/>
          <w:kern w:val="0"/>
          <w:szCs w:val="21"/>
          <w:lang w:val="en-US" w:eastAsia="zh-CN"/>
        </w:rPr>
        <w:t>安全指标的测定。</w:t>
      </w:r>
    </w:p>
    <w:p>
      <w:pPr>
        <w:ind w:firstLine="420" w:firstLineChars="200"/>
        <w:rPr>
          <w:rFonts w:hint="eastAsia" w:ascii="宋体" w:hAnsi="宋体"/>
          <w:szCs w:val="21"/>
          <w:lang w:val="en-US" w:eastAsia="zh-CN"/>
        </w:rPr>
      </w:pPr>
      <w:r>
        <w:rPr>
          <w:rFonts w:hint="eastAsia"/>
          <w:lang w:val="en-US" w:eastAsia="zh-CN"/>
        </w:rPr>
        <w:t>按照卫生部《消毒技术规范》（2002年版）进行</w:t>
      </w:r>
      <w:r>
        <w:rPr>
          <w:rFonts w:hint="eastAsia" w:ascii="宋体" w:hAnsi="宋体"/>
          <w:szCs w:val="21"/>
          <w:lang w:val="en-US" w:eastAsia="zh-CN"/>
        </w:rPr>
        <w:t>乙醇</w:t>
      </w:r>
      <w:r>
        <w:rPr>
          <w:rFonts w:hint="default" w:ascii="宋体" w:hAnsi="宋体"/>
          <w:szCs w:val="21"/>
          <w:lang w:val="en-US" w:eastAsia="zh-CN"/>
        </w:rPr>
        <w:t>含量</w:t>
      </w:r>
      <w:r>
        <w:rPr>
          <w:rFonts w:hint="eastAsia" w:ascii="宋体" w:hAnsi="宋体"/>
          <w:szCs w:val="21"/>
          <w:lang w:val="en-US" w:eastAsia="zh-CN"/>
        </w:rPr>
        <w:t>（V/V）的测定。</w:t>
      </w:r>
    </w:p>
    <w:p>
      <w:pPr>
        <w:ind w:firstLine="420" w:firstLineChars="200"/>
        <w:rPr>
          <w:rFonts w:hint="default" w:ascii="宋体" w:hAnsi="宋体" w:eastAsia="宋体"/>
          <w:szCs w:val="21"/>
          <w:lang w:val="en-US" w:eastAsia="zh-CN"/>
        </w:rPr>
      </w:pPr>
      <w:r>
        <w:rPr>
          <w:rFonts w:hint="eastAsia"/>
        </w:rPr>
        <w:t>按</w:t>
      </w:r>
      <w:r>
        <w:rPr>
          <w:rFonts w:hint="eastAsia"/>
          <w:lang w:val="en-US" w:eastAsia="zh-CN"/>
        </w:rPr>
        <w:t>照</w:t>
      </w:r>
      <w:r>
        <w:t xml:space="preserve">QB/T </w:t>
      </w:r>
      <w:r>
        <w:rPr>
          <w:rFonts w:hint="eastAsia"/>
        </w:rPr>
        <w:t>2738</w:t>
      </w:r>
      <w:r>
        <w:rPr>
          <w:rFonts w:hint="eastAsia"/>
          <w:lang w:val="en-US" w:eastAsia="zh-CN"/>
        </w:rPr>
        <w:t>进行杀抑菌的测定</w:t>
      </w:r>
    </w:p>
    <w:p>
      <w:pPr>
        <w:rPr>
          <w:rFonts w:ascii="黑体" w:hAnsi="黑体" w:eastAsia="黑体"/>
          <w:szCs w:val="21"/>
        </w:rPr>
      </w:pPr>
      <w:r>
        <w:rPr>
          <w:rFonts w:hint="eastAsia" w:ascii="黑体" w:hAnsi="黑体" w:eastAsia="黑体"/>
          <w:szCs w:val="21"/>
        </w:rPr>
        <w:t>2.</w:t>
      </w:r>
      <w:r>
        <w:rPr>
          <w:rFonts w:ascii="黑体" w:hAnsi="黑体" w:eastAsia="黑体"/>
          <w:szCs w:val="21"/>
        </w:rPr>
        <w:t>4</w:t>
      </w:r>
      <w:r>
        <w:rPr>
          <w:rFonts w:hint="eastAsia" w:ascii="黑体" w:hAnsi="黑体" w:eastAsia="黑体"/>
          <w:szCs w:val="21"/>
        </w:rPr>
        <w:t>检验规则</w:t>
      </w:r>
    </w:p>
    <w:p>
      <w:pPr>
        <w:rPr>
          <w:rFonts w:ascii="黑体" w:hAnsi="黑体" w:eastAsia="黑体"/>
          <w:szCs w:val="21"/>
        </w:rPr>
      </w:pPr>
      <w:r>
        <w:rPr>
          <w:rFonts w:hint="eastAsia" w:ascii="黑体" w:hAnsi="黑体" w:eastAsia="黑体"/>
          <w:szCs w:val="21"/>
        </w:rPr>
        <w:t>2.</w:t>
      </w:r>
      <w:r>
        <w:rPr>
          <w:rFonts w:ascii="黑体" w:hAnsi="黑体" w:eastAsia="黑体"/>
          <w:szCs w:val="21"/>
        </w:rPr>
        <w:t>5</w:t>
      </w:r>
      <w:r>
        <w:rPr>
          <w:rFonts w:hint="eastAsia" w:ascii="黑体" w:hAnsi="黑体" w:eastAsia="黑体"/>
          <w:szCs w:val="21"/>
        </w:rPr>
        <w:t>标志、包装</w:t>
      </w:r>
    </w:p>
    <w:p>
      <w:pPr>
        <w:ind w:firstLine="420" w:firstLineChars="200"/>
        <w:rPr>
          <w:rFonts w:ascii="宋体" w:hAnsi="宋体"/>
          <w:kern w:val="0"/>
          <w:szCs w:val="21"/>
        </w:rPr>
      </w:pPr>
      <w:r>
        <w:rPr>
          <w:rFonts w:hint="eastAsia"/>
          <w:lang w:val="en-US" w:eastAsia="zh-CN"/>
        </w:rPr>
        <w:t>执行</w:t>
      </w:r>
      <w:r>
        <w:t>Q</w:t>
      </w:r>
      <w:r>
        <w:rPr>
          <w:rFonts w:hint="eastAsia"/>
        </w:rPr>
        <w:t>B/T 2952 的规定</w:t>
      </w:r>
      <w:r>
        <w:rPr>
          <w:rFonts w:ascii="宋体" w:hAnsi="宋体"/>
          <w:kern w:val="0"/>
          <w:szCs w:val="21"/>
        </w:rPr>
        <w:t>。</w:t>
      </w:r>
    </w:p>
    <w:p>
      <w:pPr>
        <w:spacing w:line="276" w:lineRule="auto"/>
        <w:rPr>
          <w:rFonts w:ascii="宋体" w:hAnsi="宋体"/>
          <w:b/>
        </w:rPr>
      </w:pPr>
      <w:r>
        <w:rPr>
          <w:rFonts w:hint="eastAsia" w:ascii="宋体" w:hAnsi="宋体"/>
          <w:b/>
        </w:rPr>
        <w:t>3、解决的主要问题</w:t>
      </w:r>
    </w:p>
    <w:p>
      <w:pPr>
        <w:ind w:firstLine="420"/>
        <w:rPr>
          <w:rFonts w:hint="eastAsia"/>
          <w:lang w:eastAsia="zh-CN"/>
        </w:rPr>
      </w:pPr>
      <w:r>
        <w:rPr>
          <w:rFonts w:hint="eastAsia"/>
          <w:lang w:val="en-US" w:eastAsia="zh-CN"/>
        </w:rPr>
        <w:t>2019年年底，新冠病毒首发，随之肆虐全球，至今世界人民还不能摆脱新冠病毒的危害。而对该病毒有效的预防办法中，勤洗手是至关重要的一种。免洗洗手液，区别于传统的水洗洗手液，在这个特殊的防疫时期脱颖而出。其优势在于不受环境局限，不需冲水，随用随喷随干，便于人们在各种作业环境下使用。但目前，免洗洗手液的质量控制及管理主要依据企业标准进行，</w:t>
      </w:r>
      <w:r>
        <w:rPr>
          <w:rFonts w:hint="eastAsia"/>
        </w:rPr>
        <w:t>尚无统一</w:t>
      </w:r>
      <w:r>
        <w:rPr>
          <w:rFonts w:hint="eastAsia"/>
          <w:lang w:val="en-US" w:eastAsia="zh-CN"/>
        </w:rPr>
        <w:t>执行</w:t>
      </w:r>
      <w:r>
        <w:rPr>
          <w:rFonts w:hint="eastAsia"/>
        </w:rPr>
        <w:t>的国家标准</w:t>
      </w:r>
      <w:r>
        <w:rPr>
          <w:rFonts w:hint="eastAsia"/>
          <w:lang w:val="en-US" w:eastAsia="zh-CN"/>
        </w:rPr>
        <w:t>或</w:t>
      </w:r>
      <w:r>
        <w:rPr>
          <w:rFonts w:hint="eastAsia"/>
        </w:rPr>
        <w:t>行业标准。为贯彻落实国家关于新冠肺炎疫情防控工作的重要指示精神，保证消费者安全有效的使用此类产品，有必要制定标准对</w:t>
      </w:r>
      <w:r>
        <w:rPr>
          <w:rFonts w:hint="eastAsia"/>
          <w:lang w:val="en-US" w:eastAsia="zh-CN"/>
        </w:rPr>
        <w:t>免洗洗手液</w:t>
      </w:r>
      <w:r>
        <w:rPr>
          <w:rFonts w:hint="eastAsia"/>
        </w:rPr>
        <w:t>做</w:t>
      </w:r>
      <w:r>
        <w:rPr>
          <w:rFonts w:hint="eastAsia"/>
          <w:lang w:val="en-US" w:eastAsia="zh-CN"/>
        </w:rPr>
        <w:t>出</w:t>
      </w:r>
      <w:r>
        <w:rPr>
          <w:rFonts w:hint="eastAsia"/>
        </w:rPr>
        <w:t>相应的规定。切实发挥标准化的基础性、战略性和引领性作用，推动行业的健康发展</w:t>
      </w:r>
      <w:r>
        <w:rPr>
          <w:rFonts w:hint="eastAsia"/>
          <w:lang w:eastAsia="zh-CN"/>
        </w:rPr>
        <w:t>。</w:t>
      </w:r>
    </w:p>
    <w:p>
      <w:pPr>
        <w:spacing w:before="156" w:beforeLines="50" w:after="156" w:afterLines="50"/>
        <w:rPr>
          <w:rFonts w:ascii="宋体" w:hAnsi="宋体"/>
          <w:b/>
          <w:szCs w:val="21"/>
        </w:rPr>
      </w:pPr>
      <w:r>
        <w:rPr>
          <w:rFonts w:hint="eastAsia" w:ascii="宋体" w:hAnsi="宋体"/>
          <w:b/>
          <w:szCs w:val="21"/>
        </w:rPr>
        <w:t>三、主要试验（或验证）情况</w:t>
      </w:r>
    </w:p>
    <w:p>
      <w:pPr>
        <w:spacing w:before="156" w:beforeLines="50" w:after="156" w:afterLines="50"/>
        <w:rPr>
          <w:rFonts w:ascii="宋体" w:hAnsi="宋体"/>
          <w:b/>
          <w:szCs w:val="21"/>
        </w:rPr>
      </w:pPr>
      <w:r>
        <w:rPr>
          <w:rFonts w:hint="eastAsia" w:ascii="宋体" w:hAnsi="宋体"/>
          <w:b/>
          <w:szCs w:val="21"/>
        </w:rPr>
        <w:t>四、标准中如果涉及专利，应有明确的知识产权说明</w:t>
      </w:r>
    </w:p>
    <w:p>
      <w:pPr>
        <w:ind w:firstLine="420" w:firstLineChars="200"/>
      </w:pPr>
      <w:r>
        <w:rPr>
          <w:rFonts w:hint="eastAsia"/>
        </w:rPr>
        <w:t>未涉及专利等知识产权问题。</w:t>
      </w:r>
    </w:p>
    <w:p>
      <w:pPr>
        <w:spacing w:before="156" w:beforeLines="50" w:after="156" w:afterLines="50"/>
        <w:rPr>
          <w:rFonts w:ascii="宋体" w:hAnsi="宋体"/>
          <w:b/>
          <w:szCs w:val="21"/>
        </w:rPr>
      </w:pPr>
      <w:r>
        <w:rPr>
          <w:rFonts w:hint="eastAsia" w:ascii="宋体" w:hAnsi="宋体"/>
          <w:b/>
          <w:szCs w:val="21"/>
        </w:rPr>
        <w:t>五、产业化情况、推广应用论证和预期达到的经济效果等情况</w:t>
      </w:r>
    </w:p>
    <w:p>
      <w:pPr>
        <w:ind w:firstLine="420"/>
        <w:rPr>
          <w:rFonts w:hint="eastAsia" w:ascii="Times New Roman" w:hAnsi="Times New Roman" w:cs="Times New Roman"/>
        </w:rPr>
      </w:pPr>
      <w:r>
        <w:rPr>
          <w:rFonts w:hint="eastAsia" w:ascii="Times New Roman" w:hAnsi="Times New Roman" w:cs="Times New Roman"/>
        </w:rPr>
        <w:t>本标准尤其注重了产品对人体和环境的安全性；加强了与相关标准之间的一致性，便于提高采标率。</w:t>
      </w:r>
    </w:p>
    <w:p>
      <w:pPr>
        <w:ind w:firstLine="420"/>
        <w:rPr>
          <w:rFonts w:hint="eastAsia" w:ascii="Times New Roman" w:hAnsi="Times New Roman" w:cs="Times New Roman"/>
          <w:lang w:eastAsia="zh-CN"/>
        </w:rPr>
      </w:pPr>
      <w:r>
        <w:rPr>
          <w:rFonts w:hint="eastAsia" w:ascii="Times New Roman" w:hAnsi="Times New Roman" w:cs="Times New Roman"/>
        </w:rPr>
        <w:t>本标准实施后，可以建立一个公正、统一的产品质量评价平台，有利于保护消费者利益，促进市场良性竞争发展</w:t>
      </w:r>
      <w:r>
        <w:rPr>
          <w:rFonts w:hint="eastAsia" w:ascii="Times New Roman" w:hAnsi="Times New Roman" w:cs="Times New Roman"/>
          <w:lang w:eastAsia="zh-CN"/>
        </w:rPr>
        <w:t>。</w:t>
      </w:r>
    </w:p>
    <w:p>
      <w:pPr>
        <w:spacing w:before="156" w:beforeLines="50" w:after="156" w:afterLines="50"/>
        <w:rPr>
          <w:rFonts w:ascii="宋体" w:hAnsi="宋体"/>
          <w:b/>
          <w:szCs w:val="21"/>
        </w:rPr>
      </w:pPr>
      <w:r>
        <w:rPr>
          <w:rFonts w:hint="eastAsia" w:ascii="宋体" w:hAnsi="宋体"/>
          <w:b/>
          <w:szCs w:val="21"/>
        </w:rPr>
        <w:t>六、采用国际标准和国外先进标准情况</w:t>
      </w:r>
    </w:p>
    <w:p>
      <w:pPr>
        <w:ind w:firstLine="420" w:firstLineChars="200"/>
      </w:pPr>
      <w:r>
        <w:rPr>
          <w:rFonts w:hint="eastAsia"/>
        </w:rPr>
        <w:t>目前没有相关国际标准。</w:t>
      </w:r>
    </w:p>
    <w:p>
      <w:pPr>
        <w:spacing w:before="156" w:beforeLines="50" w:after="156" w:afterLines="50"/>
        <w:rPr>
          <w:rFonts w:ascii="宋体" w:hAnsi="宋体"/>
          <w:b/>
          <w:szCs w:val="21"/>
        </w:rPr>
      </w:pPr>
      <w:r>
        <w:rPr>
          <w:rFonts w:hint="eastAsia" w:ascii="宋体" w:hAnsi="宋体"/>
          <w:b/>
          <w:szCs w:val="21"/>
        </w:rPr>
        <w:t>七</w:t>
      </w:r>
      <w:r>
        <w:rPr>
          <w:rFonts w:ascii="宋体" w:hAnsi="宋体"/>
          <w:b/>
          <w:szCs w:val="21"/>
        </w:rPr>
        <w:t>、</w:t>
      </w:r>
      <w:r>
        <w:rPr>
          <w:rFonts w:hint="eastAsia" w:ascii="宋体" w:hAnsi="宋体"/>
          <w:b/>
          <w:szCs w:val="21"/>
        </w:rPr>
        <w:t>与现行相关法律、法规、规章及相关标准，特别是强制性标准的协调性</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本专业领域的标准体系框架如图。</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本标准属于标准体系中05日用化学制品－07清洁卫生用品－01家庭及个人用洗涤剂－0</w:t>
      </w:r>
      <w:r>
        <w:rPr>
          <w:rFonts w:hint="eastAsia" w:ascii="宋体" w:hAnsi="宋体" w:cs="宋体"/>
          <w:spacing w:val="2"/>
          <w:lang w:val="en-US" w:eastAsia="zh-CN"/>
        </w:rPr>
        <w:t>1人体</w:t>
      </w:r>
      <w:r>
        <w:rPr>
          <w:rFonts w:hint="eastAsia" w:ascii="宋体" w:hAnsi="宋体" w:eastAsia="宋体" w:cs="宋体"/>
          <w:spacing w:val="2"/>
        </w:rPr>
        <w:t>洗涤剂。</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本标准与现行相关法律、法规、规章及相关标准协调一致。</w:t>
      </w:r>
    </w:p>
    <w:p>
      <w:pPr>
        <w:adjustRightInd w:val="0"/>
        <w:snapToGrid w:val="0"/>
        <w:jc w:val="left"/>
        <w:rPr>
          <w:rFonts w:hint="eastAsia" w:ascii="宋体" w:hAnsi="宋体"/>
          <w:kern w:val="0"/>
          <w:szCs w:val="21"/>
        </w:rPr>
      </w:pPr>
    </w:p>
    <w:p>
      <w:pPr>
        <w:adjustRightInd w:val="0"/>
        <w:snapToGrid w:val="0"/>
        <w:ind w:firstLine="420" w:firstLineChars="200"/>
        <w:jc w:val="left"/>
        <w:rPr>
          <w:rFonts w:hint="eastAsia" w:ascii="宋体" w:hAnsi="宋体"/>
          <w:kern w:val="0"/>
          <w:szCs w:val="21"/>
        </w:rPr>
      </w:pPr>
      <w:r>
        <w:rPr>
          <w:rFonts w:ascii="宋体" w:hAnsi="宋体"/>
        </w:rPr>
        <w:drawing>
          <wp:inline distT="0" distB="0" distL="114300" distR="114300">
            <wp:extent cx="5732780" cy="4142740"/>
            <wp:effectExtent l="0" t="0" r="12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32780" cy="4142740"/>
                    </a:xfrm>
                    <a:prstGeom prst="rect">
                      <a:avLst/>
                    </a:prstGeom>
                    <a:noFill/>
                    <a:ln>
                      <a:noFill/>
                    </a:ln>
                  </pic:spPr>
                </pic:pic>
              </a:graphicData>
            </a:graphic>
          </wp:inline>
        </w:drawing>
      </w:r>
    </w:p>
    <w:p>
      <w:pPr>
        <w:spacing w:before="156" w:beforeLines="50" w:after="156" w:afterLines="50"/>
        <w:rPr>
          <w:rFonts w:ascii="宋体" w:hAnsi="宋体"/>
          <w:b/>
          <w:szCs w:val="21"/>
        </w:rPr>
      </w:pPr>
      <w:r>
        <w:rPr>
          <w:rFonts w:hint="eastAsia" w:ascii="宋体" w:hAnsi="宋体"/>
          <w:b/>
          <w:szCs w:val="21"/>
        </w:rPr>
        <w:t>八、重大分歧意见的处理经过和依据</w:t>
      </w:r>
    </w:p>
    <w:p>
      <w:pPr>
        <w:adjustRightInd w:val="0"/>
        <w:snapToGrid w:val="0"/>
        <w:ind w:firstLine="420" w:firstLineChars="200"/>
        <w:jc w:val="left"/>
      </w:pPr>
      <w:r>
        <w:rPr>
          <w:rFonts w:hint="eastAsia"/>
        </w:rPr>
        <w:t>无重大分歧意见。</w:t>
      </w:r>
    </w:p>
    <w:p>
      <w:pPr>
        <w:spacing w:before="156" w:beforeLines="50" w:after="156" w:afterLines="50"/>
        <w:rPr>
          <w:rFonts w:ascii="宋体" w:hAnsi="宋体"/>
          <w:b/>
          <w:szCs w:val="21"/>
        </w:rPr>
      </w:pPr>
      <w:r>
        <w:rPr>
          <w:rFonts w:hint="eastAsia" w:ascii="宋体" w:hAnsi="宋体"/>
          <w:b/>
          <w:szCs w:val="21"/>
        </w:rPr>
        <w:t>九、标准性质的建议说明</w:t>
      </w:r>
    </w:p>
    <w:p>
      <w:pPr>
        <w:adjustRightInd w:val="0"/>
        <w:snapToGrid w:val="0"/>
        <w:ind w:firstLine="420" w:firstLineChars="200"/>
        <w:jc w:val="left"/>
      </w:pPr>
      <w:r>
        <w:rPr>
          <w:rFonts w:hint="eastAsia"/>
        </w:rPr>
        <w:t>标准性质是国家推荐性标准。</w:t>
      </w:r>
    </w:p>
    <w:p>
      <w:pPr>
        <w:spacing w:before="156" w:beforeLines="50" w:after="156" w:afterLines="50"/>
        <w:rPr>
          <w:rFonts w:ascii="宋体" w:hAnsi="宋体"/>
          <w:b/>
          <w:szCs w:val="21"/>
        </w:rPr>
      </w:pPr>
      <w:r>
        <w:rPr>
          <w:rFonts w:hint="eastAsia" w:ascii="宋体" w:hAnsi="宋体"/>
          <w:b/>
          <w:szCs w:val="21"/>
        </w:rPr>
        <w:t>十、贯彻标准的要求和措施建议</w:t>
      </w:r>
    </w:p>
    <w:p>
      <w:pPr>
        <w:adjustRightInd w:val="0"/>
        <w:snapToGrid w:val="0"/>
        <w:ind w:firstLine="420" w:firstLineChars="200"/>
        <w:jc w:val="left"/>
      </w:pPr>
      <w:r>
        <w:rPr>
          <w:rFonts w:hint="eastAsia"/>
        </w:rPr>
        <w:t>建议本标准批准发布6个月后实施。</w:t>
      </w:r>
    </w:p>
    <w:p>
      <w:pPr>
        <w:spacing w:before="156" w:beforeLines="50" w:after="156" w:afterLines="50"/>
        <w:rPr>
          <w:rFonts w:ascii="宋体" w:hAnsi="宋体"/>
          <w:b/>
          <w:szCs w:val="21"/>
        </w:rPr>
      </w:pPr>
      <w:r>
        <w:rPr>
          <w:rFonts w:hint="eastAsia" w:ascii="宋体" w:hAnsi="宋体"/>
          <w:b/>
          <w:szCs w:val="21"/>
        </w:rPr>
        <w:t>十一、废止现行相关标准的建议</w:t>
      </w:r>
    </w:p>
    <w:p>
      <w:pPr>
        <w:adjustRightInd w:val="0"/>
        <w:snapToGrid w:val="0"/>
        <w:ind w:firstLine="420" w:firstLineChars="200"/>
        <w:jc w:val="left"/>
      </w:pPr>
      <w:r>
        <w:rPr>
          <w:rFonts w:hint="eastAsia"/>
        </w:rPr>
        <w:t>无。</w:t>
      </w:r>
    </w:p>
    <w:p>
      <w:pPr>
        <w:spacing w:before="156" w:beforeLines="50" w:after="156" w:afterLines="50"/>
        <w:rPr>
          <w:rFonts w:ascii="宋体" w:hAnsi="宋体"/>
          <w:b/>
          <w:szCs w:val="21"/>
        </w:rPr>
      </w:pPr>
      <w:r>
        <w:rPr>
          <w:rFonts w:hint="eastAsia" w:ascii="宋体" w:hAnsi="宋体"/>
          <w:b/>
          <w:szCs w:val="21"/>
        </w:rPr>
        <w:t>十二、其它应予说明的事项</w:t>
      </w:r>
    </w:p>
    <w:p>
      <w:pPr>
        <w:adjustRightInd w:val="0"/>
        <w:snapToGrid w:val="0"/>
        <w:ind w:firstLine="420" w:firstLineChars="200"/>
        <w:jc w:val="left"/>
        <w:rPr>
          <w:rFonts w:hint="eastAsia" w:ascii="宋体" w:hAnsi="宋体" w:eastAsia="宋体"/>
          <w:szCs w:val="21"/>
          <w:lang w:val="en-US" w:eastAsia="zh-CN"/>
        </w:rPr>
      </w:pPr>
      <w:r>
        <w:rPr>
          <w:rFonts w:hint="eastAsia" w:ascii="宋体" w:hAnsi="宋体"/>
          <w:szCs w:val="21"/>
          <w:lang w:val="en-US" w:eastAsia="zh-CN"/>
        </w:rPr>
        <w:t>无</w:t>
      </w:r>
    </w:p>
    <w:p>
      <w:pPr>
        <w:adjustRightInd w:val="0"/>
        <w:snapToGrid w:val="0"/>
        <w:ind w:firstLine="420" w:firstLineChars="200"/>
        <w:jc w:val="left"/>
        <w:rPr>
          <w:rFonts w:ascii="宋体" w:hAnsi="宋体"/>
          <w:szCs w:val="21"/>
        </w:rPr>
      </w:pPr>
    </w:p>
    <w:p>
      <w:pPr>
        <w:adjustRightInd w:val="0"/>
        <w:snapToGrid w:val="0"/>
        <w:ind w:firstLine="420" w:firstLineChars="200"/>
        <w:jc w:val="right"/>
        <w:rPr>
          <w:rFonts w:ascii="宋体" w:hAnsi="宋体"/>
          <w:szCs w:val="21"/>
        </w:rPr>
      </w:pPr>
    </w:p>
    <w:sectPr>
      <w:footerReference r:id="rId3" w:type="default"/>
      <w:pgSz w:w="11906" w:h="16838"/>
      <w:pgMar w:top="1440" w:right="1106"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8010"/>
      <w:docPartObj>
        <w:docPartGallery w:val="autotext"/>
      </w:docPartObj>
    </w:sdtPr>
    <w:sdtContent>
      <w:p>
        <w:pPr>
          <w:jc w:val="center"/>
        </w:pPr>
        <w:r>
          <w:fldChar w:fldCharType="begin"/>
        </w:r>
        <w:r>
          <w:instrText xml:space="preserve"> PAGE   \* MERGEFORMAT </w:instrText>
        </w:r>
        <w:r>
          <w:fldChar w:fldCharType="separate"/>
        </w:r>
        <w:r>
          <w:rPr>
            <w:lang w:val="zh-CN"/>
          </w:rPr>
          <w:t>1</w:t>
        </w:r>
        <w:r>
          <w:rPr>
            <w:lang w:val="zh-CN"/>
          </w:rP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975DC2"/>
    <w:multiLevelType w:val="singleLevel"/>
    <w:tmpl w:val="49975DC2"/>
    <w:lvl w:ilvl="0" w:tentative="0">
      <w:start w:val="1"/>
      <w:numFmt w:val="bullet"/>
      <w:pStyle w:val="36"/>
      <w:lvlText w:val=""/>
      <w:lvlJc w:val="left"/>
      <w:pPr>
        <w:tabs>
          <w:tab w:val="left" w:pos="360"/>
        </w:tabs>
        <w:ind w:left="193" w:hanging="193"/>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2M2YwZTMxNTM2NjU4ZDMxZmUyNGM0NGU5YzlkMTQ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4A5D"/>
    <w:rsid w:val="00051308"/>
    <w:rsid w:val="000555E0"/>
    <w:rsid w:val="00067D29"/>
    <w:rsid w:val="00081A85"/>
    <w:rsid w:val="00083150"/>
    <w:rsid w:val="00083A32"/>
    <w:rsid w:val="00086606"/>
    <w:rsid w:val="0009797C"/>
    <w:rsid w:val="000B5742"/>
    <w:rsid w:val="000C06BF"/>
    <w:rsid w:val="000C3601"/>
    <w:rsid w:val="000D1A26"/>
    <w:rsid w:val="000D3C9D"/>
    <w:rsid w:val="000D61EA"/>
    <w:rsid w:val="000D6B77"/>
    <w:rsid w:val="000F09D2"/>
    <w:rsid w:val="000F165E"/>
    <w:rsid w:val="000F6A02"/>
    <w:rsid w:val="001110BD"/>
    <w:rsid w:val="00113C78"/>
    <w:rsid w:val="00115DEC"/>
    <w:rsid w:val="00115EB3"/>
    <w:rsid w:val="00120B1D"/>
    <w:rsid w:val="00121E49"/>
    <w:rsid w:val="00122515"/>
    <w:rsid w:val="00122F38"/>
    <w:rsid w:val="00132832"/>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08E9"/>
    <w:rsid w:val="001B2047"/>
    <w:rsid w:val="001B7036"/>
    <w:rsid w:val="001D1646"/>
    <w:rsid w:val="001D228A"/>
    <w:rsid w:val="001E19B7"/>
    <w:rsid w:val="001E76C2"/>
    <w:rsid w:val="001F0861"/>
    <w:rsid w:val="001F6A15"/>
    <w:rsid w:val="00200C6E"/>
    <w:rsid w:val="00204638"/>
    <w:rsid w:val="00204B98"/>
    <w:rsid w:val="0020649C"/>
    <w:rsid w:val="00207732"/>
    <w:rsid w:val="0021041A"/>
    <w:rsid w:val="00212EE3"/>
    <w:rsid w:val="00213089"/>
    <w:rsid w:val="00215BB6"/>
    <w:rsid w:val="00223763"/>
    <w:rsid w:val="00227F5C"/>
    <w:rsid w:val="00232658"/>
    <w:rsid w:val="00233F65"/>
    <w:rsid w:val="00241577"/>
    <w:rsid w:val="00242ABE"/>
    <w:rsid w:val="002461B2"/>
    <w:rsid w:val="00254D5F"/>
    <w:rsid w:val="002554FC"/>
    <w:rsid w:val="0025637D"/>
    <w:rsid w:val="00261B1F"/>
    <w:rsid w:val="00265E98"/>
    <w:rsid w:val="002716B1"/>
    <w:rsid w:val="002768DF"/>
    <w:rsid w:val="0028689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6405"/>
    <w:rsid w:val="003477C5"/>
    <w:rsid w:val="0035180D"/>
    <w:rsid w:val="003602F3"/>
    <w:rsid w:val="00360680"/>
    <w:rsid w:val="0036239C"/>
    <w:rsid w:val="00372908"/>
    <w:rsid w:val="00374935"/>
    <w:rsid w:val="0037498B"/>
    <w:rsid w:val="003875BD"/>
    <w:rsid w:val="00387C21"/>
    <w:rsid w:val="003C22B0"/>
    <w:rsid w:val="003C5492"/>
    <w:rsid w:val="003D3441"/>
    <w:rsid w:val="003D4331"/>
    <w:rsid w:val="003D6A05"/>
    <w:rsid w:val="003E530C"/>
    <w:rsid w:val="003E5346"/>
    <w:rsid w:val="003E6462"/>
    <w:rsid w:val="003E659D"/>
    <w:rsid w:val="003F012C"/>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0534"/>
    <w:rsid w:val="004B1869"/>
    <w:rsid w:val="004C35CC"/>
    <w:rsid w:val="004D1555"/>
    <w:rsid w:val="004D5C42"/>
    <w:rsid w:val="004D6527"/>
    <w:rsid w:val="004E4151"/>
    <w:rsid w:val="00501BE9"/>
    <w:rsid w:val="0050305D"/>
    <w:rsid w:val="005049B7"/>
    <w:rsid w:val="00512031"/>
    <w:rsid w:val="0052052C"/>
    <w:rsid w:val="005214B2"/>
    <w:rsid w:val="00535F2A"/>
    <w:rsid w:val="00536A9D"/>
    <w:rsid w:val="00540F03"/>
    <w:rsid w:val="00545265"/>
    <w:rsid w:val="00562EFC"/>
    <w:rsid w:val="00565B57"/>
    <w:rsid w:val="005730B2"/>
    <w:rsid w:val="00576316"/>
    <w:rsid w:val="0058379F"/>
    <w:rsid w:val="00594F28"/>
    <w:rsid w:val="00595F5D"/>
    <w:rsid w:val="005B00BB"/>
    <w:rsid w:val="005B52D6"/>
    <w:rsid w:val="005B5843"/>
    <w:rsid w:val="005B5DB8"/>
    <w:rsid w:val="005C406A"/>
    <w:rsid w:val="005D2380"/>
    <w:rsid w:val="005D560B"/>
    <w:rsid w:val="005E543B"/>
    <w:rsid w:val="005E6823"/>
    <w:rsid w:val="005F6242"/>
    <w:rsid w:val="005F7F7E"/>
    <w:rsid w:val="006003EE"/>
    <w:rsid w:val="006029CF"/>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360B"/>
    <w:rsid w:val="006B3DB8"/>
    <w:rsid w:val="006C351A"/>
    <w:rsid w:val="006D08BA"/>
    <w:rsid w:val="006D38AC"/>
    <w:rsid w:val="006E202A"/>
    <w:rsid w:val="006E3559"/>
    <w:rsid w:val="006E4DC5"/>
    <w:rsid w:val="006E6210"/>
    <w:rsid w:val="006E6C42"/>
    <w:rsid w:val="006F0FCD"/>
    <w:rsid w:val="006F53EB"/>
    <w:rsid w:val="00715BA4"/>
    <w:rsid w:val="00717ADA"/>
    <w:rsid w:val="00732B98"/>
    <w:rsid w:val="00732C30"/>
    <w:rsid w:val="007337E7"/>
    <w:rsid w:val="007427A3"/>
    <w:rsid w:val="007473C8"/>
    <w:rsid w:val="00751BF2"/>
    <w:rsid w:val="00752622"/>
    <w:rsid w:val="00757DA3"/>
    <w:rsid w:val="00762B5D"/>
    <w:rsid w:val="0077134C"/>
    <w:rsid w:val="00774BF1"/>
    <w:rsid w:val="0077734C"/>
    <w:rsid w:val="007801DB"/>
    <w:rsid w:val="00786348"/>
    <w:rsid w:val="007906BF"/>
    <w:rsid w:val="00790D58"/>
    <w:rsid w:val="00793BE6"/>
    <w:rsid w:val="00794BFF"/>
    <w:rsid w:val="007A1C78"/>
    <w:rsid w:val="007A4158"/>
    <w:rsid w:val="007B12A6"/>
    <w:rsid w:val="007B51A8"/>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6C8B"/>
    <w:rsid w:val="008707AD"/>
    <w:rsid w:val="0087548A"/>
    <w:rsid w:val="00875804"/>
    <w:rsid w:val="0088085B"/>
    <w:rsid w:val="0088218B"/>
    <w:rsid w:val="00886A63"/>
    <w:rsid w:val="00892D78"/>
    <w:rsid w:val="008938A8"/>
    <w:rsid w:val="00893C06"/>
    <w:rsid w:val="00896937"/>
    <w:rsid w:val="008A2323"/>
    <w:rsid w:val="008A27D7"/>
    <w:rsid w:val="008A2D6C"/>
    <w:rsid w:val="008A3760"/>
    <w:rsid w:val="008B2B88"/>
    <w:rsid w:val="008B4622"/>
    <w:rsid w:val="008B49B7"/>
    <w:rsid w:val="008B5206"/>
    <w:rsid w:val="008C69AE"/>
    <w:rsid w:val="008C7244"/>
    <w:rsid w:val="008D0867"/>
    <w:rsid w:val="008D328A"/>
    <w:rsid w:val="008D34D5"/>
    <w:rsid w:val="008D491A"/>
    <w:rsid w:val="008D7033"/>
    <w:rsid w:val="008E1C19"/>
    <w:rsid w:val="008E3182"/>
    <w:rsid w:val="008F275D"/>
    <w:rsid w:val="008F584A"/>
    <w:rsid w:val="00905652"/>
    <w:rsid w:val="009170EF"/>
    <w:rsid w:val="0092268C"/>
    <w:rsid w:val="00925C06"/>
    <w:rsid w:val="00927477"/>
    <w:rsid w:val="009435EF"/>
    <w:rsid w:val="00946893"/>
    <w:rsid w:val="009550EF"/>
    <w:rsid w:val="0095541B"/>
    <w:rsid w:val="00960A25"/>
    <w:rsid w:val="009659A2"/>
    <w:rsid w:val="00967613"/>
    <w:rsid w:val="009741EA"/>
    <w:rsid w:val="0097716A"/>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66A"/>
    <w:rsid w:val="009F13AA"/>
    <w:rsid w:val="009F6058"/>
    <w:rsid w:val="00A00C9F"/>
    <w:rsid w:val="00A01BA7"/>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4AA5"/>
    <w:rsid w:val="00B05443"/>
    <w:rsid w:val="00B06FEF"/>
    <w:rsid w:val="00B0716E"/>
    <w:rsid w:val="00B14C49"/>
    <w:rsid w:val="00B26999"/>
    <w:rsid w:val="00B476CD"/>
    <w:rsid w:val="00B54325"/>
    <w:rsid w:val="00B55945"/>
    <w:rsid w:val="00B5697E"/>
    <w:rsid w:val="00B67CA9"/>
    <w:rsid w:val="00B74E60"/>
    <w:rsid w:val="00B75669"/>
    <w:rsid w:val="00B75B81"/>
    <w:rsid w:val="00B762D7"/>
    <w:rsid w:val="00B77A58"/>
    <w:rsid w:val="00B84B2C"/>
    <w:rsid w:val="00B87B7C"/>
    <w:rsid w:val="00B95BDA"/>
    <w:rsid w:val="00BA4812"/>
    <w:rsid w:val="00BA5C80"/>
    <w:rsid w:val="00BB0F84"/>
    <w:rsid w:val="00BB2E86"/>
    <w:rsid w:val="00BC1690"/>
    <w:rsid w:val="00BD13ED"/>
    <w:rsid w:val="00BE0240"/>
    <w:rsid w:val="00BE2084"/>
    <w:rsid w:val="00BE6E00"/>
    <w:rsid w:val="00BF2DB6"/>
    <w:rsid w:val="00BF489C"/>
    <w:rsid w:val="00BF5393"/>
    <w:rsid w:val="00C04529"/>
    <w:rsid w:val="00C0488C"/>
    <w:rsid w:val="00C109B8"/>
    <w:rsid w:val="00C11C12"/>
    <w:rsid w:val="00C11FF7"/>
    <w:rsid w:val="00C16379"/>
    <w:rsid w:val="00C17738"/>
    <w:rsid w:val="00C3383A"/>
    <w:rsid w:val="00C35E91"/>
    <w:rsid w:val="00C37F9F"/>
    <w:rsid w:val="00C4076B"/>
    <w:rsid w:val="00C41A4E"/>
    <w:rsid w:val="00C4718D"/>
    <w:rsid w:val="00C52087"/>
    <w:rsid w:val="00C60DF5"/>
    <w:rsid w:val="00C7018F"/>
    <w:rsid w:val="00C7339A"/>
    <w:rsid w:val="00C73D55"/>
    <w:rsid w:val="00C75847"/>
    <w:rsid w:val="00CA6034"/>
    <w:rsid w:val="00CA73E4"/>
    <w:rsid w:val="00CA77B4"/>
    <w:rsid w:val="00CA7BF2"/>
    <w:rsid w:val="00CB0A0C"/>
    <w:rsid w:val="00CB1893"/>
    <w:rsid w:val="00CD34C9"/>
    <w:rsid w:val="00CD627D"/>
    <w:rsid w:val="00CE0018"/>
    <w:rsid w:val="00CE023B"/>
    <w:rsid w:val="00CF5545"/>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025E"/>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7060A"/>
    <w:rsid w:val="00E70F3D"/>
    <w:rsid w:val="00E74362"/>
    <w:rsid w:val="00E82678"/>
    <w:rsid w:val="00E8327F"/>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590E"/>
    <w:rsid w:val="00F163D4"/>
    <w:rsid w:val="00F17351"/>
    <w:rsid w:val="00F2502F"/>
    <w:rsid w:val="00F318DE"/>
    <w:rsid w:val="00F373E4"/>
    <w:rsid w:val="00F40FA4"/>
    <w:rsid w:val="00F41168"/>
    <w:rsid w:val="00F4157B"/>
    <w:rsid w:val="00F46839"/>
    <w:rsid w:val="00F47DE5"/>
    <w:rsid w:val="00F47F2D"/>
    <w:rsid w:val="00F501D6"/>
    <w:rsid w:val="00F53BD1"/>
    <w:rsid w:val="00F61602"/>
    <w:rsid w:val="00F63793"/>
    <w:rsid w:val="00F717E9"/>
    <w:rsid w:val="00F71F31"/>
    <w:rsid w:val="00F72F99"/>
    <w:rsid w:val="00F75BF5"/>
    <w:rsid w:val="00F775C9"/>
    <w:rsid w:val="00F83F69"/>
    <w:rsid w:val="00F853E1"/>
    <w:rsid w:val="00F956DA"/>
    <w:rsid w:val="00F95CFA"/>
    <w:rsid w:val="00FA32A8"/>
    <w:rsid w:val="00FA32BC"/>
    <w:rsid w:val="00FA3D66"/>
    <w:rsid w:val="00FB1195"/>
    <w:rsid w:val="00FB44EC"/>
    <w:rsid w:val="00FC3387"/>
    <w:rsid w:val="00FC34D1"/>
    <w:rsid w:val="00FC3D7E"/>
    <w:rsid w:val="00FD2550"/>
    <w:rsid w:val="00FD4237"/>
    <w:rsid w:val="00FD6552"/>
    <w:rsid w:val="00FD7A85"/>
    <w:rsid w:val="00FE20DB"/>
    <w:rsid w:val="00FE3E14"/>
    <w:rsid w:val="00FE3E83"/>
    <w:rsid w:val="00FE744D"/>
    <w:rsid w:val="00FF512F"/>
    <w:rsid w:val="00FF5573"/>
    <w:rsid w:val="016C65DC"/>
    <w:rsid w:val="04947FA3"/>
    <w:rsid w:val="160E21CF"/>
    <w:rsid w:val="209C4D15"/>
    <w:rsid w:val="23D42996"/>
    <w:rsid w:val="2B8A1EA0"/>
    <w:rsid w:val="2FA8776A"/>
    <w:rsid w:val="38797524"/>
    <w:rsid w:val="3C131A3E"/>
    <w:rsid w:val="477059E8"/>
    <w:rsid w:val="49D90C81"/>
    <w:rsid w:val="4B11183E"/>
    <w:rsid w:val="59084281"/>
    <w:rsid w:val="5AF25436"/>
    <w:rsid w:val="6B8754D9"/>
    <w:rsid w:val="784E1FBA"/>
    <w:rsid w:val="7B88262A"/>
    <w:rsid w:val="7C947A56"/>
  </w:rsids>
  <m:mathPr>
    <m:mathFont m:val="Cambria Math"/>
    <m:brkBin m:val="before"/>
    <m:brkBinSub m:val="--"/>
    <m:smallFrac m:val="0"/>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spacing w:before="240" w:after="60"/>
      <w:outlineLvl w:val="1"/>
    </w:pPr>
    <w:rPr>
      <w:rFonts w:ascii="Calibri Light" w:hAnsi="Calibri Light" w:eastAsia="等线 Light" w:cs="Mangal"/>
      <w:b/>
      <w:bCs/>
      <w:i/>
      <w:iCs/>
      <w:sz w:val="28"/>
      <w:szCs w:val="28"/>
    </w:rPr>
  </w:style>
  <w:style w:type="paragraph" w:styleId="4">
    <w:name w:val="heading 3"/>
    <w:basedOn w:val="1"/>
    <w:next w:val="1"/>
    <w:link w:val="25"/>
    <w:unhideWhenUsed/>
    <w:qFormat/>
    <w:uiPriority w:val="9"/>
    <w:pPr>
      <w:keepNext/>
      <w:spacing w:before="240" w:after="60"/>
      <w:outlineLvl w:val="2"/>
    </w:pPr>
    <w:rPr>
      <w:rFonts w:ascii="Calibri Light" w:hAnsi="Calibri Light" w:eastAsia="等线 Light" w:cs="Mangal"/>
      <w:b/>
      <w:bCs/>
      <w:sz w:val="26"/>
      <w:szCs w:val="26"/>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6840"/>
      </w:tabs>
      <w:ind w:firstLine="570"/>
    </w:pPr>
    <w:rPr>
      <w:rFonts w:ascii="宋体" w:hAnsi="宋体"/>
      <w:sz w:val="24"/>
    </w:rPr>
  </w:style>
  <w:style w:type="paragraph" w:styleId="6">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7">
    <w:name w:val="Date"/>
    <w:basedOn w:val="1"/>
    <w:next w:val="1"/>
    <w:link w:val="29"/>
    <w:qFormat/>
    <w:uiPriority w:val="99"/>
    <w:pPr>
      <w:ind w:left="100" w:leftChars="2500"/>
    </w:pPr>
    <w:rPr>
      <w:b/>
    </w:rPr>
  </w:style>
  <w:style w:type="paragraph" w:styleId="8">
    <w:name w:val="Body Text Indent 2"/>
    <w:basedOn w:val="1"/>
    <w:qFormat/>
    <w:uiPriority w:val="0"/>
    <w:pPr>
      <w:widowControl/>
      <w:ind w:firstLine="480"/>
    </w:pPr>
    <w:rPr>
      <w:kern w:val="0"/>
      <w:sz w:val="24"/>
    </w:rPr>
  </w:style>
  <w:style w:type="paragraph" w:styleId="9">
    <w:name w:val="Balloon Text"/>
    <w:basedOn w:val="1"/>
    <w:link w:val="32"/>
    <w:semiHidden/>
    <w:unhideWhenUsed/>
    <w:qFormat/>
    <w:uiPriority w:val="99"/>
    <w:rPr>
      <w:rFonts w:ascii="Segoe UI" w:hAnsi="Segoe UI" w:cs="Segoe UI"/>
      <w:sz w:val="18"/>
      <w:szCs w:val="18"/>
    </w:rPr>
  </w:style>
  <w:style w:type="paragraph" w:styleId="10">
    <w:name w:val="footer"/>
    <w:basedOn w:val="1"/>
    <w:link w:val="26"/>
    <w:qFormat/>
    <w:uiPriority w:val="99"/>
    <w:pPr>
      <w:tabs>
        <w:tab w:val="center" w:pos="4153"/>
        <w:tab w:val="right" w:pos="8306"/>
      </w:tabs>
      <w:snapToGrid w:val="0"/>
      <w:jc w:val="left"/>
    </w:pPr>
    <w:rPr>
      <w:sz w:val="18"/>
      <w:szCs w:val="18"/>
    </w:rPr>
  </w:style>
  <w:style w:type="paragraph" w:styleId="11">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rPr>
      <w:rFonts w:asciiTheme="minorHAnsi" w:hAnsiTheme="minorHAnsi" w:eastAsiaTheme="minorEastAsia" w:cstheme="minorBidi"/>
      <w:szCs w:val="22"/>
    </w:rPr>
  </w:style>
  <w:style w:type="paragraph" w:styleId="13">
    <w:name w:val="footnote text"/>
    <w:basedOn w:val="1"/>
    <w:link w:val="41"/>
    <w:semiHidden/>
    <w:unhideWhenUsed/>
    <w:qFormat/>
    <w:uiPriority w:val="99"/>
    <w:pPr>
      <w:snapToGrid w:val="0"/>
      <w:jc w:val="left"/>
    </w:pPr>
    <w:rPr>
      <w:rFonts w:asciiTheme="minorHAnsi" w:hAnsiTheme="minorHAnsi" w:eastAsiaTheme="minorEastAsia" w:cstheme="minorBidi"/>
      <w:sz w:val="18"/>
      <w:szCs w:val="18"/>
    </w:rPr>
  </w:style>
  <w:style w:type="paragraph" w:styleId="14">
    <w:name w:val="toc 2"/>
    <w:basedOn w:val="1"/>
    <w:next w:val="1"/>
    <w:unhideWhenUsed/>
    <w:qFormat/>
    <w:uiPriority w:val="39"/>
    <w:pPr>
      <w:ind w:left="420" w:leftChars="200"/>
    </w:pPr>
    <w:rPr>
      <w:rFonts w:asciiTheme="minorHAnsi" w:hAnsiTheme="minorHAnsi" w:eastAsiaTheme="minorEastAsia" w:cstheme="minorBidi"/>
      <w:szCs w:val="22"/>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page number"/>
    <w:basedOn w:val="17"/>
    <w:qFormat/>
    <w:uiPriority w:val="0"/>
  </w:style>
  <w:style w:type="character" w:styleId="20">
    <w:name w:val="Emphasis"/>
    <w:basedOn w:val="17"/>
    <w:qFormat/>
    <w:uiPriority w:val="20"/>
    <w:rPr>
      <w:i/>
      <w:iCs/>
    </w:rPr>
  </w:style>
  <w:style w:type="character" w:styleId="21">
    <w:name w:val="Hyperlink"/>
    <w:basedOn w:val="17"/>
    <w:unhideWhenUsed/>
    <w:qFormat/>
    <w:uiPriority w:val="99"/>
    <w:rPr>
      <w:color w:val="0000FF"/>
      <w:u w:val="single"/>
    </w:rPr>
  </w:style>
  <w:style w:type="character" w:styleId="22">
    <w:name w:val="footnote reference"/>
    <w:basedOn w:val="17"/>
    <w:semiHidden/>
    <w:unhideWhenUsed/>
    <w:qFormat/>
    <w:uiPriority w:val="99"/>
    <w:rPr>
      <w:vertAlign w:val="superscript"/>
    </w:rPr>
  </w:style>
  <w:style w:type="character" w:customStyle="1" w:styleId="23">
    <w:name w:val="标题 1 字符"/>
    <w:link w:val="2"/>
    <w:qFormat/>
    <w:uiPriority w:val="9"/>
    <w:rPr>
      <w:b/>
      <w:bCs/>
      <w:kern w:val="44"/>
      <w:sz w:val="44"/>
      <w:szCs w:val="44"/>
      <w:lang w:bidi="ar-SA"/>
    </w:rPr>
  </w:style>
  <w:style w:type="character" w:customStyle="1" w:styleId="24">
    <w:name w:val="标题 2 字符"/>
    <w:link w:val="3"/>
    <w:semiHidden/>
    <w:qFormat/>
    <w:uiPriority w:val="9"/>
    <w:rPr>
      <w:rFonts w:ascii="Calibri Light" w:hAnsi="Calibri Light" w:eastAsia="等线 Light" w:cs="Mangal"/>
      <w:b/>
      <w:bCs/>
      <w:i/>
      <w:iCs/>
      <w:kern w:val="2"/>
      <w:sz w:val="28"/>
      <w:szCs w:val="28"/>
      <w:lang w:bidi="ar-SA"/>
    </w:rPr>
  </w:style>
  <w:style w:type="character" w:customStyle="1" w:styleId="25">
    <w:name w:val="标题 3 字符"/>
    <w:link w:val="4"/>
    <w:qFormat/>
    <w:uiPriority w:val="9"/>
    <w:rPr>
      <w:rFonts w:ascii="Calibri Light" w:hAnsi="Calibri Light" w:eastAsia="等线 Light" w:cs="Mangal"/>
      <w:b/>
      <w:bCs/>
      <w:kern w:val="2"/>
      <w:sz w:val="26"/>
      <w:szCs w:val="26"/>
      <w:lang w:bidi="ar-SA"/>
    </w:rPr>
  </w:style>
  <w:style w:type="character" w:customStyle="1" w:styleId="26">
    <w:name w:val="页脚 字符"/>
    <w:basedOn w:val="17"/>
    <w:link w:val="10"/>
    <w:qFormat/>
    <w:uiPriority w:val="99"/>
    <w:rPr>
      <w:kern w:val="2"/>
      <w:sz w:val="18"/>
      <w:szCs w:val="18"/>
    </w:rPr>
  </w:style>
  <w:style w:type="paragraph" w:customStyle="1" w:styleId="27">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段 Char"/>
    <w:link w:val="27"/>
    <w:qFormat/>
    <w:uiPriority w:val="0"/>
    <w:rPr>
      <w:rFonts w:ascii="宋体"/>
      <w:sz w:val="21"/>
      <w:lang w:bidi="ar-SA"/>
    </w:rPr>
  </w:style>
  <w:style w:type="character" w:customStyle="1" w:styleId="29">
    <w:name w:val="日期 字符"/>
    <w:basedOn w:val="17"/>
    <w:link w:val="7"/>
    <w:qFormat/>
    <w:uiPriority w:val="99"/>
    <w:rPr>
      <w:b/>
      <w:kern w:val="2"/>
      <w:sz w:val="21"/>
      <w:szCs w:val="24"/>
    </w:rPr>
  </w:style>
  <w:style w:type="character" w:customStyle="1" w:styleId="30">
    <w:name w:val="页眉 字符"/>
    <w:basedOn w:val="17"/>
    <w:link w:val="11"/>
    <w:qFormat/>
    <w:uiPriority w:val="99"/>
    <w:rPr>
      <w:kern w:val="2"/>
      <w:sz w:val="18"/>
      <w:szCs w:val="18"/>
    </w:rPr>
  </w:style>
  <w:style w:type="paragraph" w:customStyle="1" w:styleId="31">
    <w:name w:val="Minutes info"/>
    <w:basedOn w:val="1"/>
    <w:semiHidden/>
    <w:uiPriority w:val="6"/>
    <w:pPr>
      <w:widowControl/>
      <w:spacing w:before="120" w:after="70" w:line="260" w:lineRule="atLeast"/>
      <w:jc w:val="left"/>
    </w:pPr>
    <w:rPr>
      <w:rFonts w:ascii="Arial" w:hAnsi="Arial" w:cs="Mangal"/>
      <w:kern w:val="0"/>
      <w:sz w:val="20"/>
      <w:szCs w:val="20"/>
      <w:lang w:eastAsia="en-US"/>
    </w:rPr>
  </w:style>
  <w:style w:type="character" w:customStyle="1" w:styleId="32">
    <w:name w:val="批注框文本 字符"/>
    <w:link w:val="9"/>
    <w:semiHidden/>
    <w:qFormat/>
    <w:uiPriority w:val="99"/>
    <w:rPr>
      <w:rFonts w:ascii="Segoe UI" w:hAnsi="Segoe UI" w:cs="Segoe UI"/>
      <w:kern w:val="2"/>
      <w:sz w:val="18"/>
      <w:szCs w:val="18"/>
      <w:lang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34">
    <w:name w:val="List Paragraph"/>
    <w:basedOn w:val="1"/>
    <w:qFormat/>
    <w:uiPriority w:val="34"/>
    <w:pPr>
      <w:ind w:firstLine="420" w:firstLineChars="200"/>
    </w:pPr>
  </w:style>
  <w:style w:type="paragraph" w:customStyle="1" w:styleId="35">
    <w:name w:val="附录标识"/>
    <w:basedOn w:val="1"/>
    <w:next w:val="27"/>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36">
    <w:name w:val="Bullet Text 1"/>
    <w:basedOn w:val="1"/>
    <w:uiPriority w:val="0"/>
    <w:pPr>
      <w:widowControl/>
      <w:numPr>
        <w:ilvl w:val="0"/>
        <w:numId w:val="1"/>
      </w:numPr>
      <w:tabs>
        <w:tab w:val="left" w:pos="193"/>
      </w:tabs>
      <w:spacing w:before="60" w:after="60"/>
      <w:jc w:val="left"/>
    </w:pPr>
    <w:rPr>
      <w:rFonts w:ascii="Arial" w:hAnsi="Arial"/>
      <w:kern w:val="0"/>
      <w:sz w:val="22"/>
      <w:szCs w:val="20"/>
      <w:lang w:val="da-DK" w:eastAsia="en-US"/>
    </w:rPr>
  </w:style>
  <w:style w:type="table" w:customStyle="1" w:styleId="37">
    <w:name w:val="网格型浅色1"/>
    <w:basedOn w:val="1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8">
    <w:name w:val="列出段落"/>
    <w:basedOn w:val="1"/>
    <w:qFormat/>
    <w:uiPriority w:val="34"/>
    <w:pPr>
      <w:ind w:firstLine="420" w:firstLineChars="200"/>
    </w:pPr>
    <w:rPr>
      <w:rFonts w:ascii="Calibri" w:hAnsi="Calibri"/>
      <w:szCs w:val="22"/>
    </w:rPr>
  </w:style>
  <w:style w:type="paragraph" w:customStyle="1" w:styleId="3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0">
    <w:name w:val="web-item2"/>
    <w:basedOn w:val="17"/>
    <w:uiPriority w:val="0"/>
    <w:rPr>
      <w:sz w:val="18"/>
      <w:szCs w:val="18"/>
    </w:rPr>
  </w:style>
  <w:style w:type="character" w:customStyle="1" w:styleId="41">
    <w:name w:val="脚注文本 字符"/>
    <w:basedOn w:val="17"/>
    <w:link w:val="13"/>
    <w:semiHidden/>
    <w:qFormat/>
    <w:uiPriority w:val="99"/>
    <w:rPr>
      <w:rFonts w:asciiTheme="minorHAnsi" w:hAnsiTheme="minorHAnsi" w:eastAsiaTheme="minorEastAsia" w:cstheme="minorBidi"/>
      <w:kern w:val="2"/>
      <w:sz w:val="18"/>
      <w:szCs w:val="18"/>
    </w:rPr>
  </w:style>
  <w:style w:type="paragraph" w:styleId="4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reader-word-layer"/>
    <w:basedOn w:val="1"/>
    <w:uiPriority w:val="0"/>
    <w:pPr>
      <w:widowControl/>
      <w:spacing w:before="100" w:beforeAutospacing="1" w:after="100" w:afterAutospacing="1"/>
      <w:jc w:val="left"/>
    </w:pPr>
    <w:rPr>
      <w:rFonts w:ascii="宋体" w:hAnsi="宋体" w:cs="宋体"/>
      <w:kern w:val="0"/>
      <w:sz w:val="24"/>
    </w:rPr>
  </w:style>
  <w:style w:type="paragraph" w:customStyle="1" w:styleId="44">
    <w:name w:val="列项——（一级）"/>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45">
    <w:name w:val="段 Char Char"/>
    <w:qFormat/>
    <w:uiPriority w:val="0"/>
    <w:rPr>
      <w:rFonts w:ascii="宋体"/>
      <w:sz w:val="21"/>
      <w:lang w:val="en-US" w:eastAsia="zh-CN" w:bidi="ar-SA"/>
    </w:rPr>
  </w:style>
  <w:style w:type="paragraph" w:customStyle="1" w:styleId="46">
    <w:name w:val="Other|1"/>
    <w:basedOn w:val="1"/>
    <w:qFormat/>
    <w:uiPriority w:val="0"/>
    <w:pPr>
      <w:widowControl w:val="0"/>
      <w:shd w:val="clear" w:color="auto" w:fill="auto"/>
      <w:spacing w:line="334" w:lineRule="auto"/>
      <w:ind w:firstLine="280"/>
    </w:pPr>
    <w:rPr>
      <w:rFonts w:ascii="宋体" w:hAnsi="宋体" w:eastAsia="宋体" w:cs="宋体"/>
      <w:sz w:val="13"/>
      <w:szCs w:val="13"/>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6590-A231-4F58-B26C-D60875EEEF25}">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2024</Words>
  <Characters>2225</Characters>
  <Lines>65</Lines>
  <Paragraphs>18</Paragraphs>
  <TotalTime>1</TotalTime>
  <ScaleCrop>false</ScaleCrop>
  <LinksUpToDate>false</LinksUpToDate>
  <CharactersWithSpaces>2252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2022-04-07T03:46:00Z</dcterms:created>
  <dc:creator>a</dc:creator>
  <cp:lastModifiedBy>晓静</cp:lastModifiedBy>
  <cp:lastPrinted>2019-03-22T06:24:00Z</cp:lastPrinted>
  <dcterms:modified xsi:type="dcterms:W3CDTF">2022-07-13T08:15:38Z</dcterms:modified>
  <dc:title>小麦粉国家标准(GB 1355)</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30C46EC6726D4385B992DC755C26B211</vt:lpwstr>
  </property>
</Properties>
</file>