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41CB" w14:textId="77777777" w:rsidR="00CF43DE" w:rsidRDefault="00CF43DE" w:rsidP="00CF43DE">
      <w:pPr>
        <w:jc w:val="center"/>
        <w:rPr>
          <w:rFonts w:asciiTheme="majorEastAsia" w:eastAsiaTheme="majorEastAsia" w:hAnsiTheme="majorEastAsia"/>
          <w:b/>
          <w:sz w:val="32"/>
          <w:szCs w:val="32"/>
        </w:rPr>
      </w:pPr>
      <w:r w:rsidRPr="00CF43DE">
        <w:rPr>
          <w:rFonts w:asciiTheme="majorEastAsia" w:eastAsiaTheme="majorEastAsia" w:hAnsiTheme="majorEastAsia" w:hint="eastAsia"/>
          <w:b/>
          <w:sz w:val="32"/>
          <w:szCs w:val="32"/>
        </w:rPr>
        <w:t>行业标准《</w:t>
      </w:r>
      <w:r w:rsidR="00280CA8">
        <w:rPr>
          <w:rFonts w:asciiTheme="majorEastAsia" w:eastAsiaTheme="majorEastAsia" w:hAnsiTheme="majorEastAsia" w:hint="eastAsia"/>
          <w:b/>
          <w:sz w:val="32"/>
          <w:szCs w:val="32"/>
        </w:rPr>
        <w:t>食品用</w:t>
      </w:r>
      <w:r w:rsidRPr="00CF43DE">
        <w:rPr>
          <w:rFonts w:asciiTheme="majorEastAsia" w:eastAsiaTheme="majorEastAsia" w:hAnsiTheme="majorEastAsia" w:hint="eastAsia"/>
          <w:b/>
          <w:sz w:val="32"/>
          <w:szCs w:val="32"/>
        </w:rPr>
        <w:t>洗涤剂中防腐剂</w:t>
      </w:r>
      <w:r>
        <w:rPr>
          <w:rFonts w:asciiTheme="majorEastAsia" w:eastAsiaTheme="majorEastAsia" w:hAnsiTheme="majorEastAsia" w:hint="eastAsia"/>
          <w:b/>
          <w:sz w:val="32"/>
          <w:szCs w:val="32"/>
        </w:rPr>
        <w:t>的测定</w:t>
      </w:r>
      <w:r w:rsidRPr="00CF43DE">
        <w:rPr>
          <w:rFonts w:asciiTheme="majorEastAsia" w:eastAsiaTheme="majorEastAsia" w:hAnsiTheme="majorEastAsia" w:hint="eastAsia"/>
          <w:b/>
          <w:sz w:val="32"/>
          <w:szCs w:val="32"/>
        </w:rPr>
        <w:t>》</w:t>
      </w:r>
    </w:p>
    <w:p w14:paraId="757EC729" w14:textId="77777777" w:rsidR="00CF43DE" w:rsidRPr="00CF43DE" w:rsidRDefault="00CF43DE" w:rsidP="00CF43DE">
      <w:pPr>
        <w:jc w:val="center"/>
        <w:rPr>
          <w:rFonts w:asciiTheme="majorEastAsia" w:eastAsiaTheme="majorEastAsia" w:hAnsiTheme="majorEastAsia"/>
          <w:b/>
          <w:sz w:val="32"/>
          <w:szCs w:val="32"/>
        </w:rPr>
      </w:pPr>
      <w:r w:rsidRPr="00CF43DE">
        <w:rPr>
          <w:rFonts w:asciiTheme="majorEastAsia" w:eastAsiaTheme="majorEastAsia" w:hAnsiTheme="majorEastAsia" w:hint="eastAsia"/>
          <w:b/>
          <w:sz w:val="32"/>
          <w:szCs w:val="32"/>
        </w:rPr>
        <w:t>编制说明</w:t>
      </w:r>
      <w:r>
        <w:rPr>
          <w:rFonts w:asciiTheme="majorEastAsia" w:eastAsiaTheme="majorEastAsia" w:hAnsiTheme="majorEastAsia" w:hint="eastAsia"/>
          <w:b/>
          <w:sz w:val="32"/>
          <w:szCs w:val="32"/>
        </w:rPr>
        <w:t>（送审稿）</w:t>
      </w:r>
    </w:p>
    <w:p w14:paraId="1BAB5580" w14:textId="77777777" w:rsidR="00CF43DE" w:rsidRPr="00CF43DE" w:rsidRDefault="00CF43DE" w:rsidP="00CF43DE">
      <w:pPr>
        <w:autoSpaceDE w:val="0"/>
        <w:autoSpaceDN w:val="0"/>
        <w:adjustRightInd w:val="0"/>
        <w:spacing w:line="360" w:lineRule="auto"/>
        <w:ind w:rightChars="12" w:right="25" w:firstLineChars="200" w:firstLine="643"/>
        <w:jc w:val="left"/>
        <w:outlineLvl w:val="0"/>
        <w:rPr>
          <w:rFonts w:ascii="黑体" w:eastAsia="黑体" w:hAnsi="黑体" w:cs="宋体"/>
          <w:b/>
          <w:bCs/>
          <w:sz w:val="32"/>
          <w:szCs w:val="32"/>
        </w:rPr>
      </w:pPr>
    </w:p>
    <w:p w14:paraId="16FBCEAB" w14:textId="77777777" w:rsidR="0040539E" w:rsidRPr="00CF43DE" w:rsidRDefault="00877A14" w:rsidP="00280CA8">
      <w:pPr>
        <w:autoSpaceDE w:val="0"/>
        <w:autoSpaceDN w:val="0"/>
        <w:adjustRightInd w:val="0"/>
        <w:spacing w:line="360" w:lineRule="auto"/>
        <w:ind w:rightChars="12" w:right="25"/>
        <w:jc w:val="left"/>
        <w:outlineLvl w:val="0"/>
        <w:rPr>
          <w:rFonts w:asciiTheme="minorEastAsia" w:eastAsiaTheme="minorEastAsia" w:hAnsiTheme="minorEastAsia"/>
          <w:b/>
          <w:sz w:val="28"/>
          <w:szCs w:val="32"/>
        </w:rPr>
      </w:pPr>
      <w:r>
        <w:rPr>
          <w:rFonts w:asciiTheme="minorEastAsia" w:eastAsiaTheme="minorEastAsia" w:hAnsiTheme="minorEastAsia" w:cs="宋体" w:hint="eastAsia"/>
          <w:b/>
          <w:kern w:val="0"/>
          <w:sz w:val="28"/>
          <w:szCs w:val="32"/>
        </w:rPr>
        <w:t>1.</w:t>
      </w:r>
      <w:r w:rsidR="0040539E" w:rsidRPr="00CF43DE">
        <w:rPr>
          <w:rFonts w:asciiTheme="minorEastAsia" w:eastAsiaTheme="minorEastAsia" w:hAnsiTheme="minorEastAsia" w:cs="宋体" w:hint="eastAsia"/>
          <w:b/>
          <w:kern w:val="0"/>
          <w:sz w:val="28"/>
          <w:szCs w:val="32"/>
        </w:rPr>
        <w:t>工作简况</w:t>
      </w:r>
    </w:p>
    <w:p w14:paraId="55342E51" w14:textId="77777777" w:rsidR="0040539E" w:rsidRPr="00CF43DE" w:rsidRDefault="009501FE" w:rsidP="00280CA8">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sidRPr="00CF43DE">
        <w:rPr>
          <w:rFonts w:asciiTheme="minorEastAsia" w:eastAsiaTheme="minorEastAsia" w:hAnsiTheme="minorEastAsia" w:cs="宋体" w:hint="eastAsia"/>
          <w:b/>
          <w:kern w:val="0"/>
          <w:sz w:val="28"/>
          <w:szCs w:val="32"/>
        </w:rPr>
        <w:t>1.1</w:t>
      </w:r>
      <w:r w:rsidR="0040539E" w:rsidRPr="00CF43DE">
        <w:rPr>
          <w:rFonts w:asciiTheme="minorEastAsia" w:eastAsiaTheme="minorEastAsia" w:hAnsiTheme="minorEastAsia" w:cs="宋体" w:hint="eastAsia"/>
          <w:b/>
          <w:kern w:val="0"/>
          <w:sz w:val="28"/>
          <w:szCs w:val="32"/>
        </w:rPr>
        <w:t>任务来源</w:t>
      </w:r>
    </w:p>
    <w:p w14:paraId="4DE1BC1B" w14:textId="77777777" w:rsidR="0040539E" w:rsidRPr="00116A24" w:rsidRDefault="00165801"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根据</w:t>
      </w:r>
      <w:r w:rsidR="009F0762" w:rsidRPr="00116A24">
        <w:rPr>
          <w:rFonts w:asciiTheme="minorEastAsia" w:eastAsiaTheme="minorEastAsia" w:hAnsiTheme="minorEastAsia" w:hint="eastAsia"/>
          <w:sz w:val="24"/>
          <w:szCs w:val="28"/>
        </w:rPr>
        <w:t>工业和信息化部</w:t>
      </w:r>
      <w:r w:rsidR="00B62DB2" w:rsidRPr="00116A24">
        <w:rPr>
          <w:rFonts w:asciiTheme="minorEastAsia" w:eastAsiaTheme="minorEastAsia" w:hAnsiTheme="minorEastAsia" w:hint="eastAsia"/>
          <w:sz w:val="24"/>
          <w:szCs w:val="28"/>
        </w:rPr>
        <w:t>组织编制的“</w:t>
      </w:r>
      <w:r w:rsidR="00B62DB2" w:rsidRPr="00116A24">
        <w:rPr>
          <w:rFonts w:asciiTheme="minorEastAsia" w:eastAsiaTheme="minorEastAsia" w:hAnsiTheme="minorEastAsia"/>
          <w:sz w:val="24"/>
          <w:szCs w:val="28"/>
        </w:rPr>
        <w:t>20</w:t>
      </w:r>
      <w:r w:rsidR="00B62DB2" w:rsidRPr="00116A24">
        <w:rPr>
          <w:rFonts w:asciiTheme="minorEastAsia" w:eastAsiaTheme="minorEastAsia" w:hAnsiTheme="minorEastAsia" w:hint="eastAsia"/>
          <w:sz w:val="24"/>
          <w:szCs w:val="28"/>
        </w:rPr>
        <w:t>20年第二批行业标准制修订和外文版项目计划</w:t>
      </w:r>
      <w:r w:rsidR="00940601" w:rsidRPr="00116A24">
        <w:rPr>
          <w:rFonts w:asciiTheme="minorEastAsia" w:eastAsiaTheme="minorEastAsia" w:hAnsiTheme="minorEastAsia" w:hint="eastAsia"/>
          <w:sz w:val="24"/>
          <w:szCs w:val="28"/>
        </w:rPr>
        <w:t>”，</w:t>
      </w:r>
      <w:r w:rsidRPr="00116A24">
        <w:rPr>
          <w:rFonts w:asciiTheme="minorEastAsia" w:eastAsiaTheme="minorEastAsia" w:hAnsiTheme="minorEastAsia" w:hint="eastAsia"/>
          <w:sz w:val="24"/>
          <w:szCs w:val="28"/>
        </w:rPr>
        <w:t>20</w:t>
      </w:r>
      <w:r w:rsidR="00940601" w:rsidRPr="00116A24">
        <w:rPr>
          <w:rFonts w:asciiTheme="minorEastAsia" w:eastAsiaTheme="minorEastAsia" w:hAnsiTheme="minorEastAsia" w:hint="eastAsia"/>
          <w:sz w:val="24"/>
          <w:szCs w:val="28"/>
        </w:rPr>
        <w:t>19</w:t>
      </w:r>
      <w:r w:rsidR="0040539E" w:rsidRPr="00116A24">
        <w:rPr>
          <w:rFonts w:asciiTheme="minorEastAsia" w:eastAsiaTheme="minorEastAsia" w:hAnsiTheme="minorEastAsia" w:hint="eastAsia"/>
          <w:sz w:val="24"/>
          <w:szCs w:val="28"/>
        </w:rPr>
        <w:t>年</w:t>
      </w:r>
      <w:r w:rsidR="00940601" w:rsidRPr="00116A24">
        <w:rPr>
          <w:rFonts w:asciiTheme="minorEastAsia" w:eastAsiaTheme="minorEastAsia" w:hAnsiTheme="minorEastAsia" w:hint="eastAsia"/>
          <w:sz w:val="24"/>
          <w:szCs w:val="28"/>
        </w:rPr>
        <w:t>11</w:t>
      </w:r>
      <w:r w:rsidR="0040539E" w:rsidRPr="00116A24">
        <w:rPr>
          <w:rFonts w:asciiTheme="minorEastAsia" w:eastAsiaTheme="minorEastAsia" w:hAnsiTheme="minorEastAsia" w:hint="eastAsia"/>
          <w:sz w:val="24"/>
          <w:szCs w:val="28"/>
        </w:rPr>
        <w:t>月河北省环保产品质量监督检验院提出了制定《</w:t>
      </w:r>
      <w:r w:rsidR="00B62DB2" w:rsidRPr="00116A24">
        <w:rPr>
          <w:rFonts w:asciiTheme="minorEastAsia" w:eastAsiaTheme="minorEastAsia" w:hAnsiTheme="minorEastAsia" w:hint="eastAsia"/>
          <w:sz w:val="24"/>
          <w:szCs w:val="28"/>
        </w:rPr>
        <w:t>食品用洗涤剂中防腐剂和抗氧化剂的检测方法</w:t>
      </w:r>
      <w:r w:rsidR="0040539E" w:rsidRPr="00116A24">
        <w:rPr>
          <w:rFonts w:asciiTheme="minorEastAsia" w:eastAsiaTheme="minorEastAsia" w:hAnsiTheme="minorEastAsia" w:hint="eastAsia"/>
          <w:sz w:val="24"/>
          <w:szCs w:val="28"/>
        </w:rPr>
        <w:t>》</w:t>
      </w:r>
      <w:r w:rsidR="00B62DB2" w:rsidRPr="00116A24">
        <w:rPr>
          <w:rFonts w:asciiTheme="minorEastAsia" w:eastAsiaTheme="minorEastAsia" w:hAnsiTheme="minorEastAsia" w:hint="eastAsia"/>
          <w:sz w:val="24"/>
          <w:szCs w:val="28"/>
        </w:rPr>
        <w:t>行业</w:t>
      </w:r>
      <w:r w:rsidR="0040539E" w:rsidRPr="00116A24">
        <w:rPr>
          <w:rFonts w:asciiTheme="minorEastAsia" w:eastAsiaTheme="minorEastAsia" w:hAnsiTheme="minorEastAsia" w:hint="eastAsia"/>
          <w:sz w:val="24"/>
          <w:szCs w:val="28"/>
        </w:rPr>
        <w:t>标准的申请。</w:t>
      </w:r>
      <w:r w:rsidR="00940601" w:rsidRPr="00116A24">
        <w:rPr>
          <w:rFonts w:asciiTheme="minorEastAsia" w:eastAsiaTheme="minorEastAsia" w:hAnsiTheme="minorEastAsia" w:hint="eastAsia"/>
          <w:sz w:val="24"/>
          <w:szCs w:val="28"/>
        </w:rPr>
        <w:t>2020年7月22日，工业和信息化部发布</w:t>
      </w:r>
      <w:r w:rsidR="00B62DB2" w:rsidRPr="00116A24">
        <w:rPr>
          <w:rFonts w:asciiTheme="minorEastAsia" w:eastAsiaTheme="minorEastAsia" w:hAnsiTheme="minorEastAsia" w:hint="eastAsia"/>
          <w:sz w:val="24"/>
          <w:szCs w:val="28"/>
        </w:rPr>
        <w:t>《关于印发2020年第二批行业标准制修订和外文版项目计划的通知》（工信厅科函[2020]181号）</w:t>
      </w:r>
      <w:r w:rsidR="00940601" w:rsidRPr="00116A24">
        <w:rPr>
          <w:rFonts w:asciiTheme="minorEastAsia" w:eastAsiaTheme="minorEastAsia" w:hAnsiTheme="minorEastAsia" w:hint="eastAsia"/>
          <w:sz w:val="24"/>
          <w:szCs w:val="28"/>
        </w:rPr>
        <w:t>批示</w:t>
      </w:r>
      <w:r w:rsidR="0040539E" w:rsidRPr="00116A24">
        <w:rPr>
          <w:rFonts w:asciiTheme="minorEastAsia" w:eastAsiaTheme="minorEastAsia" w:hAnsiTheme="minorEastAsia" w:hint="eastAsia"/>
          <w:sz w:val="24"/>
          <w:szCs w:val="28"/>
        </w:rPr>
        <w:t>，该项目被列入20</w:t>
      </w:r>
      <w:r w:rsidR="00940601" w:rsidRPr="00116A24">
        <w:rPr>
          <w:rFonts w:asciiTheme="minorEastAsia" w:eastAsiaTheme="minorEastAsia" w:hAnsiTheme="minorEastAsia" w:hint="eastAsia"/>
          <w:sz w:val="24"/>
          <w:szCs w:val="28"/>
        </w:rPr>
        <w:t>20</w:t>
      </w:r>
      <w:r w:rsidR="0040539E" w:rsidRPr="00116A24">
        <w:rPr>
          <w:rFonts w:asciiTheme="minorEastAsia" w:eastAsiaTheme="minorEastAsia" w:hAnsiTheme="minorEastAsia" w:hint="eastAsia"/>
          <w:sz w:val="24"/>
          <w:szCs w:val="28"/>
        </w:rPr>
        <w:t>年</w:t>
      </w:r>
      <w:r w:rsidR="00940601" w:rsidRPr="00116A24">
        <w:rPr>
          <w:rFonts w:asciiTheme="minorEastAsia" w:eastAsiaTheme="minorEastAsia" w:hAnsiTheme="minorEastAsia" w:hint="eastAsia"/>
          <w:sz w:val="24"/>
          <w:szCs w:val="28"/>
        </w:rPr>
        <w:t>行业</w:t>
      </w:r>
      <w:r w:rsidR="0040539E" w:rsidRPr="00116A24">
        <w:rPr>
          <w:rFonts w:asciiTheme="minorEastAsia" w:eastAsiaTheme="minorEastAsia" w:hAnsiTheme="minorEastAsia" w:hint="eastAsia"/>
          <w:sz w:val="24"/>
          <w:szCs w:val="28"/>
        </w:rPr>
        <w:t>标准制修订项目计划</w:t>
      </w:r>
      <w:r w:rsidR="00940601" w:rsidRPr="00116A24">
        <w:rPr>
          <w:rFonts w:asciiTheme="minorEastAsia" w:eastAsiaTheme="minorEastAsia" w:hAnsiTheme="minorEastAsia" w:hint="eastAsia"/>
          <w:sz w:val="24"/>
          <w:szCs w:val="28"/>
        </w:rPr>
        <w:t>，申报编号：</w:t>
      </w:r>
      <w:hyperlink r:id="rId7" w:history="1">
        <w:r w:rsidR="00940601" w:rsidRPr="00116A24">
          <w:rPr>
            <w:rFonts w:asciiTheme="minorEastAsia" w:eastAsiaTheme="minorEastAsia" w:hAnsiTheme="minorEastAsia"/>
            <w:sz w:val="24"/>
            <w:szCs w:val="28"/>
          </w:rPr>
          <w:t>2020-0945T-QB</w:t>
        </w:r>
      </w:hyperlink>
      <w:r w:rsidR="0040539E" w:rsidRPr="00116A24">
        <w:rPr>
          <w:rFonts w:asciiTheme="minorEastAsia" w:eastAsiaTheme="minorEastAsia" w:hAnsiTheme="minorEastAsia" w:hint="eastAsia"/>
          <w:sz w:val="24"/>
          <w:szCs w:val="28"/>
        </w:rPr>
        <w:t>。</w:t>
      </w:r>
    </w:p>
    <w:p w14:paraId="67FA3A1D" w14:textId="77777777" w:rsidR="009501FE" w:rsidRPr="00CF43DE" w:rsidRDefault="009501FE" w:rsidP="00280CA8">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sidRPr="00CF43DE">
        <w:rPr>
          <w:rFonts w:asciiTheme="minorEastAsia" w:eastAsiaTheme="minorEastAsia" w:hAnsiTheme="minorEastAsia" w:cs="宋体" w:hint="eastAsia"/>
          <w:b/>
          <w:kern w:val="0"/>
          <w:sz w:val="28"/>
          <w:szCs w:val="32"/>
        </w:rPr>
        <w:t>1.2 主要工作过程</w:t>
      </w:r>
    </w:p>
    <w:p w14:paraId="0594505E" w14:textId="77777777" w:rsidR="009501FE" w:rsidRPr="00116A24" w:rsidRDefault="00CF43DE"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起草阶段：项目立项后，项目组查阅相关文献资料，结合检测技术手段确定食品用洗涤剂中可能添加的防腐剂和抗氧化剂种类，在15种防腐剂和11种抗氧化剂中，最终确定了3种防腐剂和3种抗氧化剂。2021年6月</w:t>
      </w:r>
      <w:r w:rsidR="00280CA8" w:rsidRPr="00116A24">
        <w:rPr>
          <w:rFonts w:asciiTheme="minorEastAsia" w:eastAsiaTheme="minorEastAsia" w:hAnsiTheme="minorEastAsia" w:hint="eastAsia"/>
          <w:sz w:val="24"/>
          <w:szCs w:val="28"/>
        </w:rPr>
        <w:t>标委会</w:t>
      </w:r>
      <w:r w:rsidRPr="00116A24">
        <w:rPr>
          <w:rFonts w:asciiTheme="minorEastAsia" w:eastAsiaTheme="minorEastAsia" w:hAnsiTheme="minorEastAsia" w:hint="eastAsia"/>
          <w:sz w:val="24"/>
          <w:szCs w:val="28"/>
        </w:rPr>
        <w:t>秘书处经过调研和研讨，</w:t>
      </w:r>
      <w:r w:rsidR="00113F0C">
        <w:rPr>
          <w:rFonts w:asciiTheme="minorEastAsia" w:eastAsiaTheme="minorEastAsia" w:hAnsiTheme="minorEastAsia" w:hint="eastAsia"/>
          <w:sz w:val="24"/>
          <w:szCs w:val="28"/>
        </w:rPr>
        <w:t>目前食品用洗涤剂中没有添加抗氧化剂的情况，因此</w:t>
      </w:r>
      <w:r w:rsidRPr="00116A24">
        <w:rPr>
          <w:rFonts w:asciiTheme="minorEastAsia" w:eastAsiaTheme="minorEastAsia" w:hAnsiTheme="minorEastAsia" w:hint="eastAsia"/>
          <w:sz w:val="24"/>
          <w:szCs w:val="28"/>
        </w:rPr>
        <w:t>去掉了抗氧化剂，保留了3</w:t>
      </w:r>
      <w:r w:rsidR="00113F0C">
        <w:rPr>
          <w:rFonts w:asciiTheme="minorEastAsia" w:eastAsiaTheme="minorEastAsia" w:hAnsiTheme="minorEastAsia" w:hint="eastAsia"/>
          <w:sz w:val="24"/>
          <w:szCs w:val="28"/>
        </w:rPr>
        <w:t>种防腐剂。标准名称改为《食品用洗涤剂中防腐剂的测定》。</w:t>
      </w:r>
      <w:r w:rsidRPr="00116A24">
        <w:rPr>
          <w:rFonts w:asciiTheme="minorEastAsia" w:eastAsiaTheme="minorEastAsia" w:hAnsiTheme="minorEastAsia" w:hint="eastAsia"/>
          <w:sz w:val="24"/>
          <w:szCs w:val="28"/>
        </w:rPr>
        <w:t>项目组按照我国标准文本编写要求（GB/T 1.1-2020），</w:t>
      </w:r>
      <w:r w:rsidR="00280CA8" w:rsidRPr="00116A24">
        <w:rPr>
          <w:rFonts w:asciiTheme="minorEastAsia" w:eastAsiaTheme="minorEastAsia" w:hAnsiTheme="minorEastAsia" w:hint="eastAsia"/>
          <w:sz w:val="24"/>
          <w:szCs w:val="28"/>
        </w:rPr>
        <w:t>对标准文本进行了反复拟稿</w:t>
      </w:r>
      <w:r w:rsidRPr="00116A24">
        <w:rPr>
          <w:rFonts w:asciiTheme="minorEastAsia" w:eastAsiaTheme="minorEastAsia" w:hAnsiTheme="minorEastAsia" w:hint="eastAsia"/>
          <w:sz w:val="24"/>
          <w:szCs w:val="28"/>
        </w:rPr>
        <w:t>。</w:t>
      </w:r>
    </w:p>
    <w:p w14:paraId="25DBD3DB" w14:textId="2E6FB844" w:rsidR="00280CA8" w:rsidRPr="00116A24" w:rsidRDefault="00280CA8"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征求意见阶段：标委会秘书处于2021年9月在河北承德召开的标准会议上对拟稿进行了讨论，收集意见</w:t>
      </w:r>
      <w:r w:rsidR="00903B9D">
        <w:rPr>
          <w:rFonts w:asciiTheme="minorEastAsia" w:eastAsiaTheme="minorEastAsia" w:hAnsiTheme="minorEastAsia" w:hint="eastAsia"/>
          <w:sz w:val="24"/>
          <w:szCs w:val="28"/>
        </w:rPr>
        <w:t>9</w:t>
      </w:r>
      <w:r w:rsidRPr="00116A24">
        <w:rPr>
          <w:rFonts w:asciiTheme="minorEastAsia" w:eastAsiaTheme="minorEastAsia" w:hAnsiTheme="minorEastAsia" w:hint="eastAsia"/>
          <w:sz w:val="24"/>
          <w:szCs w:val="28"/>
        </w:rPr>
        <w:t>条并于2021年10月进行了广泛的意见征询，未收到反馈意见。项目组对收到的意见进行了分析研究，采纳3条，对征求意见稿进行了相应的修改后形成送审稿。</w:t>
      </w:r>
    </w:p>
    <w:p w14:paraId="7D5B4AC0" w14:textId="77777777" w:rsidR="00280CA8" w:rsidRPr="00116A24" w:rsidRDefault="00280CA8"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审查阶段：</w:t>
      </w:r>
    </w:p>
    <w:p w14:paraId="324FB1EB" w14:textId="77777777" w:rsidR="00280CA8" w:rsidRPr="00116A24" w:rsidRDefault="00280CA8"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报批阶段：</w:t>
      </w:r>
    </w:p>
    <w:p w14:paraId="36695C1D" w14:textId="77777777" w:rsidR="00280CA8" w:rsidRPr="00CF43DE" w:rsidRDefault="00877A14" w:rsidP="00280CA8">
      <w:pPr>
        <w:autoSpaceDE w:val="0"/>
        <w:autoSpaceDN w:val="0"/>
        <w:adjustRightInd w:val="0"/>
        <w:spacing w:line="360" w:lineRule="auto"/>
        <w:ind w:rightChars="12" w:right="25"/>
        <w:jc w:val="left"/>
        <w:outlineLvl w:val="0"/>
        <w:rPr>
          <w:rFonts w:asciiTheme="minorEastAsia" w:eastAsiaTheme="minorEastAsia" w:hAnsiTheme="minorEastAsia"/>
          <w:b/>
          <w:sz w:val="28"/>
          <w:szCs w:val="32"/>
        </w:rPr>
      </w:pPr>
      <w:r>
        <w:rPr>
          <w:rFonts w:asciiTheme="minorEastAsia" w:eastAsiaTheme="minorEastAsia" w:hAnsiTheme="minorEastAsia" w:cs="宋体" w:hint="eastAsia"/>
          <w:b/>
          <w:kern w:val="0"/>
          <w:sz w:val="28"/>
          <w:szCs w:val="32"/>
        </w:rPr>
        <w:t>2.</w:t>
      </w:r>
      <w:r w:rsidR="00280CA8">
        <w:rPr>
          <w:rFonts w:asciiTheme="minorEastAsia" w:eastAsiaTheme="minorEastAsia" w:hAnsiTheme="minorEastAsia" w:cs="宋体" w:hint="eastAsia"/>
          <w:b/>
          <w:kern w:val="0"/>
          <w:sz w:val="28"/>
          <w:szCs w:val="32"/>
        </w:rPr>
        <w:t>标准制定原则和主要内容</w:t>
      </w:r>
    </w:p>
    <w:p w14:paraId="02FF92EA" w14:textId="77777777" w:rsidR="00280CA8" w:rsidRPr="007A1A6F" w:rsidRDefault="00280CA8" w:rsidP="007A1A6F">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sidRPr="007A1A6F">
        <w:rPr>
          <w:rFonts w:asciiTheme="minorEastAsia" w:eastAsiaTheme="minorEastAsia" w:hAnsiTheme="minorEastAsia" w:cs="宋体" w:hint="eastAsia"/>
          <w:b/>
          <w:kern w:val="0"/>
          <w:sz w:val="28"/>
          <w:szCs w:val="32"/>
        </w:rPr>
        <w:t>2.1 标准制定原则</w:t>
      </w:r>
    </w:p>
    <w:p w14:paraId="21B3CE56" w14:textId="77777777" w:rsidR="007A1A6F" w:rsidRPr="00116A24" w:rsidRDefault="007A1A6F"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本标准的制定符合产业发展的原则，本着先进性、科学性、合理性和可操作性的原则，以及标准的目标、统一性、协调性、适用性、一致性和规范性原则来进行本标准的制定工作。</w:t>
      </w:r>
    </w:p>
    <w:p w14:paraId="09FF7CFC" w14:textId="77777777" w:rsidR="007A1A6F" w:rsidRPr="00116A24" w:rsidRDefault="007A1A6F"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lastRenderedPageBreak/>
        <w:t>本标准起草过程中，主要按照 GB/T 1.1《标准化工作导则第1部分：标准化文件的结构和起草规则》、 GB/T 20000《标准化工作指南》、 GB/T 20001《标准编写规则》等要求进行编写。本标准编制过程中，主要参考了以下标准或文件：</w:t>
      </w:r>
    </w:p>
    <w:p w14:paraId="296A7B75"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（1）GB/T</w:t>
      </w:r>
      <w:r w:rsidRPr="00116A24">
        <w:rPr>
          <w:rFonts w:asciiTheme="minorEastAsia" w:eastAsiaTheme="minorEastAsia" w:hAnsiTheme="minorEastAsia"/>
          <w:sz w:val="24"/>
          <w:szCs w:val="28"/>
        </w:rPr>
        <w:t xml:space="preserve"> 24691-2009《</w:t>
      </w:r>
      <w:r w:rsidRPr="00116A24">
        <w:rPr>
          <w:rFonts w:asciiTheme="minorEastAsia" w:eastAsiaTheme="minorEastAsia" w:hAnsiTheme="minorEastAsia" w:hint="eastAsia"/>
          <w:sz w:val="24"/>
          <w:szCs w:val="28"/>
        </w:rPr>
        <w:t>果蔬清洗剂</w:t>
      </w:r>
      <w:r w:rsidRPr="00116A24">
        <w:rPr>
          <w:rFonts w:asciiTheme="minorEastAsia" w:eastAsiaTheme="minorEastAsia" w:hAnsiTheme="minorEastAsia"/>
          <w:sz w:val="24"/>
          <w:szCs w:val="28"/>
        </w:rPr>
        <w:t>》</w:t>
      </w:r>
      <w:r w:rsidRPr="00116A24">
        <w:rPr>
          <w:rFonts w:asciiTheme="minorEastAsia" w:eastAsiaTheme="minorEastAsia" w:hAnsiTheme="minorEastAsia" w:hint="eastAsia"/>
          <w:sz w:val="24"/>
          <w:szCs w:val="28"/>
        </w:rPr>
        <w:t>.</w:t>
      </w:r>
    </w:p>
    <w:p w14:paraId="750EFBE9"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（2）GB</w:t>
      </w:r>
      <w:r w:rsidRPr="00116A24">
        <w:rPr>
          <w:rFonts w:asciiTheme="minorEastAsia" w:eastAsiaTheme="minorEastAsia" w:hAnsiTheme="minorEastAsia"/>
          <w:sz w:val="24"/>
          <w:szCs w:val="28"/>
        </w:rPr>
        <w:t>/T 13173-2008</w:t>
      </w:r>
      <w:r w:rsidRPr="00116A24">
        <w:rPr>
          <w:rFonts w:asciiTheme="minorEastAsia" w:eastAsiaTheme="minorEastAsia" w:hAnsiTheme="minorEastAsia" w:hint="eastAsia"/>
          <w:sz w:val="24"/>
          <w:szCs w:val="28"/>
        </w:rPr>
        <w:t>《表面活性剂 洗涤剂试验方法》.</w:t>
      </w:r>
    </w:p>
    <w:p w14:paraId="5AE313A0"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（3）</w:t>
      </w:r>
      <w:r w:rsidRPr="00116A24">
        <w:rPr>
          <w:rFonts w:asciiTheme="minorEastAsia" w:eastAsiaTheme="minorEastAsia" w:hAnsiTheme="minorEastAsia"/>
          <w:sz w:val="24"/>
          <w:szCs w:val="28"/>
        </w:rPr>
        <w:t>《化妆品卫生规范》2007版.</w:t>
      </w:r>
    </w:p>
    <w:p w14:paraId="5474D63D"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（4）</w:t>
      </w:r>
      <w:r w:rsidRPr="00116A24">
        <w:rPr>
          <w:rFonts w:asciiTheme="minorEastAsia" w:eastAsiaTheme="minorEastAsia" w:hAnsiTheme="minorEastAsia"/>
          <w:sz w:val="24"/>
          <w:szCs w:val="28"/>
        </w:rPr>
        <w:t>化妆品及其原料中禁限用物质检测方法验证技术规范.</w:t>
      </w:r>
    </w:p>
    <w:p w14:paraId="214BB854"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（5）</w:t>
      </w:r>
      <w:r w:rsidRPr="00116A24">
        <w:rPr>
          <w:rFonts w:asciiTheme="minorEastAsia" w:eastAsiaTheme="minorEastAsia" w:hAnsiTheme="minorEastAsia"/>
          <w:sz w:val="24"/>
          <w:szCs w:val="28"/>
        </w:rPr>
        <w:t>GB 14930.1-2015</w:t>
      </w:r>
      <w:r w:rsidRPr="00116A24">
        <w:rPr>
          <w:rFonts w:asciiTheme="minorEastAsia" w:eastAsiaTheme="minorEastAsia" w:hAnsiTheme="minorEastAsia" w:hint="eastAsia"/>
          <w:sz w:val="24"/>
          <w:szCs w:val="28"/>
        </w:rPr>
        <w:t>《食品安全国家标准 洗涤剂》.</w:t>
      </w:r>
    </w:p>
    <w:p w14:paraId="70EB4402"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（6）GB</w:t>
      </w:r>
      <w:r w:rsidRPr="00116A24">
        <w:rPr>
          <w:rFonts w:asciiTheme="minorEastAsia" w:eastAsiaTheme="minorEastAsia" w:hAnsiTheme="minorEastAsia"/>
          <w:sz w:val="24"/>
          <w:szCs w:val="28"/>
        </w:rPr>
        <w:t xml:space="preserve"> </w:t>
      </w:r>
      <w:r w:rsidRPr="00116A24">
        <w:rPr>
          <w:rFonts w:asciiTheme="minorEastAsia" w:eastAsiaTheme="minorEastAsia" w:hAnsiTheme="minorEastAsia" w:hint="eastAsia"/>
          <w:sz w:val="24"/>
          <w:szCs w:val="28"/>
        </w:rPr>
        <w:t>9985-2000《手洗餐具用洗涤剂》.</w:t>
      </w:r>
    </w:p>
    <w:p w14:paraId="0C9CE43C"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（7）</w:t>
      </w:r>
      <w:r w:rsidRPr="00116A24">
        <w:rPr>
          <w:rFonts w:asciiTheme="minorEastAsia" w:eastAsiaTheme="minorEastAsia" w:hAnsiTheme="minorEastAsia"/>
          <w:sz w:val="24"/>
          <w:szCs w:val="28"/>
        </w:rPr>
        <w:t>SN/T 3633-2013</w:t>
      </w:r>
      <w:r w:rsidRPr="00116A24">
        <w:rPr>
          <w:rFonts w:asciiTheme="minorEastAsia" w:eastAsiaTheme="minorEastAsia" w:hAnsiTheme="minorEastAsia" w:hint="eastAsia"/>
          <w:sz w:val="24"/>
          <w:szCs w:val="28"/>
        </w:rPr>
        <w:t>《进出口食品洗涤剂检验规程》.</w:t>
      </w:r>
    </w:p>
    <w:p w14:paraId="79EC8DA9"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8</w:t>
      </w:r>
      <w:r w:rsidRPr="00116A24">
        <w:rPr>
          <w:rFonts w:asciiTheme="minorEastAsia" w:eastAsiaTheme="minorEastAsia" w:hAnsiTheme="minorEastAsia" w:hint="eastAsia"/>
          <w:sz w:val="24"/>
          <w:szCs w:val="28"/>
        </w:rPr>
        <w:t>） GB</w:t>
      </w:r>
      <w:r w:rsidRPr="00116A24">
        <w:rPr>
          <w:rFonts w:asciiTheme="minorEastAsia" w:eastAsiaTheme="minorEastAsia" w:hAnsiTheme="minorEastAsia"/>
          <w:sz w:val="24"/>
          <w:szCs w:val="28"/>
        </w:rPr>
        <w:t>/T 23296.16-2009</w:t>
      </w:r>
      <w:r w:rsidRPr="00116A24">
        <w:rPr>
          <w:rFonts w:asciiTheme="minorEastAsia" w:eastAsiaTheme="minorEastAsia" w:hAnsiTheme="minorEastAsia" w:hint="eastAsia"/>
          <w:sz w:val="24"/>
          <w:szCs w:val="28"/>
        </w:rPr>
        <w:t>《食品接触材料 高分子材料食品模拟物中2,2-二（4-羟基苯基）丙烷（双酚A）的测定 高效液相色谱法》.</w:t>
      </w:r>
    </w:p>
    <w:p w14:paraId="0303919F"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（9）李晓睿、姚晨之、严方.</w:t>
      </w:r>
      <w:r w:rsidRPr="00116A24">
        <w:rPr>
          <w:rFonts w:asciiTheme="minorEastAsia" w:eastAsiaTheme="minorEastAsia" w:hAnsiTheme="minorEastAsia"/>
          <w:sz w:val="24"/>
          <w:szCs w:val="28"/>
        </w:rPr>
        <w:t>反相高效液相色谱法测定洗涤用品中的</w:t>
      </w:r>
      <w:r w:rsidRPr="00116A24">
        <w:rPr>
          <w:rFonts w:asciiTheme="minorEastAsia" w:eastAsiaTheme="minorEastAsia" w:hAnsiTheme="minorEastAsia" w:hint="eastAsia"/>
          <w:sz w:val="24"/>
          <w:szCs w:val="28"/>
        </w:rPr>
        <w:t>烷基酚聚氧乙烯醚，印染助剂，2015，6（32）：50-52.</w:t>
      </w:r>
    </w:p>
    <w:p w14:paraId="3AF632BD"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（10）刘华良、王联红、马永建.高效液相色谱-荧光检测法测定饮用水中双酚A，环境卫生学杂志，2013,1（3）：56-59.</w:t>
      </w:r>
    </w:p>
    <w:p w14:paraId="12055C6D"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（11）张健雄、于文.高效液相色谱法测定洗涤剂中的三氯羟基二苯醚，日用化学平科学，2017,4（40）：31-32,44.</w:t>
      </w:r>
    </w:p>
    <w:p w14:paraId="72B76AF5"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（12）缪佳铮、薛鸣、张虹.高效液相色谱分析食品罐内涂料中双酚A和双酚F环氧衍生物残留，分析化学，2009，6（37）：911</w:t>
      </w:r>
      <w:r w:rsidRPr="00116A24">
        <w:rPr>
          <w:rFonts w:asciiTheme="minorEastAsia" w:eastAsiaTheme="minorEastAsia" w:hAnsiTheme="minorEastAsia"/>
          <w:sz w:val="24"/>
          <w:szCs w:val="28"/>
        </w:rPr>
        <w:t>-</w:t>
      </w:r>
      <w:r w:rsidRPr="00116A24">
        <w:rPr>
          <w:rFonts w:asciiTheme="minorEastAsia" w:eastAsiaTheme="minorEastAsia" w:hAnsiTheme="minorEastAsia" w:hint="eastAsia"/>
          <w:sz w:val="24"/>
          <w:szCs w:val="28"/>
        </w:rPr>
        <w:t>914.</w:t>
      </w:r>
    </w:p>
    <w:p w14:paraId="018F1D0A"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（13）丁洁、张圣虎、刘济宁等.液相色谱-串联质谱法测定污水处理厂水样中双酚A、四溴双酚A及烷基酚类化合物，2014,5（32）：529-534.</w:t>
      </w:r>
    </w:p>
    <w:p w14:paraId="6A59A8A0" w14:textId="77777777" w:rsidR="006A02AC" w:rsidRPr="00F1332D" w:rsidRDefault="007A1A6F" w:rsidP="00F1332D">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sidRPr="007A1A6F">
        <w:rPr>
          <w:rFonts w:asciiTheme="minorEastAsia" w:eastAsiaTheme="minorEastAsia" w:hAnsiTheme="minorEastAsia" w:cs="宋体" w:hint="eastAsia"/>
          <w:b/>
          <w:kern w:val="0"/>
          <w:sz w:val="28"/>
          <w:szCs w:val="32"/>
        </w:rPr>
        <w:t>2.2 标准主要内容</w:t>
      </w:r>
    </w:p>
    <w:p w14:paraId="0CA6F179"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（1）前处理方法</w:t>
      </w:r>
    </w:p>
    <w:p w14:paraId="7B8A6ABF"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相关国家标准中未规定食品用洗涤剂中防腐剂的限量要求及检测方法，文献报道的方法一般是将洗涤剂直接溶于甲醇或其它有机溶剂中，过膜后上机测定。本标准采用乙腈通过溶剂替换，将食品用洗涤剂中的水分旋转蒸发干，然后用甲醇对食品用洗涤剂中的防腐剂</w:t>
      </w:r>
      <w:r w:rsidRPr="00116A24">
        <w:rPr>
          <w:rFonts w:asciiTheme="minorEastAsia" w:eastAsiaTheme="minorEastAsia" w:hAnsiTheme="minorEastAsia"/>
          <w:sz w:val="24"/>
          <w:szCs w:val="28"/>
        </w:rPr>
        <w:t>进行振荡</w:t>
      </w: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超声提取</w:t>
      </w:r>
      <w:r w:rsidRPr="00116A24">
        <w:rPr>
          <w:rFonts w:asciiTheme="minorEastAsia" w:eastAsiaTheme="minorEastAsia" w:hAnsiTheme="minorEastAsia" w:hint="eastAsia"/>
          <w:sz w:val="24"/>
          <w:szCs w:val="28"/>
        </w:rPr>
        <w:t>，0.45μm滤膜过滤。</w:t>
      </w:r>
    </w:p>
    <w:p w14:paraId="082E1FA5"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（2）检测设备</w:t>
      </w:r>
    </w:p>
    <w:p w14:paraId="6C80B2F6"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对防腐剂的检测</w:t>
      </w:r>
      <w:r w:rsidRPr="00116A24">
        <w:rPr>
          <w:rFonts w:asciiTheme="minorEastAsia" w:eastAsiaTheme="minorEastAsia" w:hAnsiTheme="minorEastAsia" w:hint="eastAsia"/>
          <w:sz w:val="24"/>
          <w:szCs w:val="28"/>
        </w:rPr>
        <w:t>，相关标准和</w:t>
      </w:r>
      <w:r w:rsidRPr="00116A24">
        <w:rPr>
          <w:rFonts w:asciiTheme="minorEastAsia" w:eastAsiaTheme="minorEastAsia" w:hAnsiTheme="minorEastAsia"/>
          <w:sz w:val="24"/>
          <w:szCs w:val="28"/>
        </w:rPr>
        <w:t>文献报道多采用高效液相色谱</w:t>
      </w:r>
      <w:r w:rsidRPr="00116A24">
        <w:rPr>
          <w:rFonts w:asciiTheme="minorEastAsia" w:eastAsiaTheme="minorEastAsia" w:hAnsiTheme="minorEastAsia" w:hint="eastAsia"/>
          <w:sz w:val="24"/>
          <w:szCs w:val="28"/>
        </w:rPr>
        <w:t>仪</w:t>
      </w:r>
      <w:r w:rsidRPr="00116A24">
        <w:rPr>
          <w:rFonts w:asciiTheme="minorEastAsia" w:eastAsiaTheme="minorEastAsia" w:hAnsiTheme="minorEastAsia"/>
          <w:sz w:val="24"/>
          <w:szCs w:val="28"/>
        </w:rPr>
        <w:t>和高效液相色谱</w:t>
      </w: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串联</w:t>
      </w:r>
      <w:r w:rsidRPr="00116A24">
        <w:rPr>
          <w:rFonts w:asciiTheme="minorEastAsia" w:eastAsiaTheme="minorEastAsia" w:hAnsiTheme="minorEastAsia"/>
          <w:sz w:val="24"/>
          <w:szCs w:val="28"/>
        </w:rPr>
        <w:lastRenderedPageBreak/>
        <w:t>质谱联用仪</w:t>
      </w:r>
      <w:r w:rsidRPr="00116A24">
        <w:rPr>
          <w:rFonts w:asciiTheme="minorEastAsia" w:eastAsiaTheme="minorEastAsia" w:hAnsiTheme="minorEastAsia" w:hint="eastAsia"/>
          <w:sz w:val="24"/>
          <w:szCs w:val="28"/>
        </w:rPr>
        <w:t>。二者灵敏度都可达到毫克每千克以下，满足检测标准的需求，但</w:t>
      </w:r>
      <w:r w:rsidRPr="00116A24">
        <w:rPr>
          <w:rFonts w:asciiTheme="minorEastAsia" w:eastAsiaTheme="minorEastAsia" w:hAnsiTheme="minorEastAsia"/>
          <w:sz w:val="24"/>
          <w:szCs w:val="28"/>
        </w:rPr>
        <w:t>考虑到液质联用仪价格比较昂贵</w:t>
      </w: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不具备普遍适用性</w:t>
      </w: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所以本标准使用高效液相色谱仪作为检测设备</w:t>
      </w:r>
      <w:r w:rsidRPr="00116A24">
        <w:rPr>
          <w:rFonts w:asciiTheme="minorEastAsia" w:eastAsiaTheme="minorEastAsia" w:hAnsiTheme="minorEastAsia" w:hint="eastAsia"/>
          <w:sz w:val="24"/>
          <w:szCs w:val="28"/>
        </w:rPr>
        <w:t>。经过方法优化，最终确定以甲醇</w:t>
      </w:r>
      <w:r w:rsidRPr="00116A24">
        <w:rPr>
          <w:rFonts w:asciiTheme="minorEastAsia" w:eastAsiaTheme="minorEastAsia" w:hAnsiTheme="minorEastAsia"/>
          <w:sz w:val="24"/>
          <w:szCs w:val="28"/>
        </w:rPr>
        <w:t>-</w:t>
      </w:r>
      <w:r w:rsidRPr="00116A24">
        <w:rPr>
          <w:rFonts w:asciiTheme="minorEastAsia" w:eastAsiaTheme="minorEastAsia" w:hAnsiTheme="minorEastAsia" w:hint="eastAsia"/>
          <w:sz w:val="24"/>
          <w:szCs w:val="28"/>
        </w:rPr>
        <w:t>甲酸铵水溶液为流动相，梯度洗脱，分离检测食品用洗涤剂中的3种防腐剂，紫外检测波长为：甲基氯异噻唑啉酮和甲基异噻唑啉酮</w:t>
      </w:r>
      <w:r w:rsidRPr="00116A24">
        <w:rPr>
          <w:rFonts w:asciiTheme="minorEastAsia" w:eastAsiaTheme="minorEastAsia" w:hAnsiTheme="minorEastAsia"/>
          <w:sz w:val="24"/>
          <w:szCs w:val="28"/>
        </w:rPr>
        <w:t>2</w:t>
      </w:r>
      <w:r w:rsidRPr="00116A24">
        <w:rPr>
          <w:rFonts w:asciiTheme="minorEastAsia" w:eastAsiaTheme="minorEastAsia" w:hAnsiTheme="minorEastAsia" w:hint="eastAsia"/>
          <w:sz w:val="24"/>
          <w:szCs w:val="28"/>
        </w:rPr>
        <w:t>77</w:t>
      </w:r>
      <w:r w:rsidRPr="00116A24">
        <w:rPr>
          <w:rFonts w:asciiTheme="minorEastAsia" w:eastAsiaTheme="minorEastAsia" w:hAnsiTheme="minorEastAsia"/>
          <w:sz w:val="24"/>
          <w:szCs w:val="28"/>
        </w:rPr>
        <w:t xml:space="preserve"> nm</w:t>
      </w:r>
      <w:r w:rsidRPr="00116A24">
        <w:rPr>
          <w:rFonts w:asciiTheme="minorEastAsia" w:eastAsiaTheme="minorEastAsia" w:hAnsiTheme="minorEastAsia" w:hint="eastAsia"/>
          <w:sz w:val="24"/>
          <w:szCs w:val="28"/>
        </w:rPr>
        <w:t>，苯甲酸</w:t>
      </w:r>
      <w:r w:rsidRPr="00116A24">
        <w:rPr>
          <w:rFonts w:asciiTheme="minorEastAsia" w:eastAsiaTheme="minorEastAsia" w:hAnsiTheme="minorEastAsia"/>
          <w:sz w:val="24"/>
          <w:szCs w:val="28"/>
        </w:rPr>
        <w:t>2</w:t>
      </w:r>
      <w:r w:rsidRPr="00116A24">
        <w:rPr>
          <w:rFonts w:asciiTheme="minorEastAsia" w:eastAsiaTheme="minorEastAsia" w:hAnsiTheme="minorEastAsia" w:hint="eastAsia"/>
          <w:sz w:val="24"/>
          <w:szCs w:val="28"/>
        </w:rPr>
        <w:t>31</w:t>
      </w:r>
      <w:r w:rsidRPr="00116A24">
        <w:rPr>
          <w:rFonts w:asciiTheme="minorEastAsia" w:eastAsiaTheme="minorEastAsia" w:hAnsiTheme="minorEastAsia"/>
          <w:sz w:val="24"/>
          <w:szCs w:val="28"/>
        </w:rPr>
        <w:t xml:space="preserve"> nm</w:t>
      </w:r>
      <w:r w:rsidRPr="00116A24">
        <w:rPr>
          <w:rFonts w:asciiTheme="minorEastAsia" w:eastAsiaTheme="minorEastAsia" w:hAnsiTheme="minorEastAsia" w:hint="eastAsia"/>
          <w:sz w:val="24"/>
          <w:szCs w:val="28"/>
        </w:rPr>
        <w:t>。</w:t>
      </w:r>
    </w:p>
    <w:p w14:paraId="205E8626"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（3）定量方法</w:t>
      </w:r>
    </w:p>
    <w:p w14:paraId="654D202B" w14:textId="77777777" w:rsidR="00F1332D" w:rsidRPr="00116A24" w:rsidRDefault="00F1332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检测的</w:t>
      </w:r>
      <w:r w:rsidRPr="00116A24">
        <w:rPr>
          <w:rFonts w:asciiTheme="minorEastAsia" w:eastAsiaTheme="minorEastAsia" w:hAnsiTheme="minorEastAsia" w:hint="eastAsia"/>
          <w:sz w:val="24"/>
          <w:szCs w:val="28"/>
        </w:rPr>
        <w:t>3种防腐剂理化性质</w:t>
      </w:r>
      <w:r w:rsidRPr="00116A24">
        <w:rPr>
          <w:rFonts w:asciiTheme="minorEastAsia" w:eastAsiaTheme="minorEastAsia" w:hAnsiTheme="minorEastAsia"/>
          <w:sz w:val="24"/>
          <w:szCs w:val="28"/>
        </w:rPr>
        <w:t>相对稳定</w:t>
      </w:r>
      <w:r w:rsidRPr="00116A24">
        <w:rPr>
          <w:rFonts w:asciiTheme="minorEastAsia" w:eastAsiaTheme="minorEastAsia" w:hAnsiTheme="minorEastAsia" w:hint="eastAsia"/>
          <w:sz w:val="24"/>
          <w:szCs w:val="28"/>
        </w:rPr>
        <w:t>，前处理将食品用洗涤剂除水后用甲醇提取，</w:t>
      </w:r>
      <w:r w:rsidRPr="00116A24">
        <w:rPr>
          <w:rFonts w:asciiTheme="minorEastAsia" w:eastAsiaTheme="minorEastAsia" w:hAnsiTheme="minorEastAsia"/>
          <w:sz w:val="24"/>
          <w:szCs w:val="28"/>
        </w:rPr>
        <w:t>回收率</w:t>
      </w:r>
      <w:r w:rsidRPr="00116A24">
        <w:rPr>
          <w:rFonts w:asciiTheme="minorEastAsia" w:eastAsiaTheme="minorEastAsia" w:hAnsiTheme="minorEastAsia" w:hint="eastAsia"/>
          <w:sz w:val="24"/>
          <w:szCs w:val="28"/>
        </w:rPr>
        <w:t>在</w:t>
      </w:r>
      <w:r w:rsidRPr="00116A24">
        <w:rPr>
          <w:rFonts w:asciiTheme="minorEastAsia" w:eastAsiaTheme="minorEastAsia" w:hAnsiTheme="minorEastAsia"/>
          <w:sz w:val="24"/>
          <w:szCs w:val="28"/>
        </w:rPr>
        <w:t>80%~105%之间</w:t>
      </w: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使用内标校正法的意义不大</w:t>
      </w:r>
      <w:r w:rsidRPr="00116A24">
        <w:rPr>
          <w:rFonts w:asciiTheme="minorEastAsia" w:eastAsiaTheme="minorEastAsia" w:hAnsiTheme="minorEastAsia" w:hint="eastAsia"/>
          <w:sz w:val="24"/>
          <w:szCs w:val="28"/>
        </w:rPr>
        <w:t>，</w:t>
      </w:r>
      <w:r w:rsidRPr="00116A24">
        <w:rPr>
          <w:rFonts w:asciiTheme="minorEastAsia" w:eastAsiaTheme="minorEastAsia" w:hAnsiTheme="minorEastAsia"/>
          <w:sz w:val="24"/>
          <w:szCs w:val="28"/>
        </w:rPr>
        <w:t>所以本标准采用外标标准曲线法进行定量</w:t>
      </w:r>
      <w:r w:rsidRPr="00116A24">
        <w:rPr>
          <w:rFonts w:asciiTheme="minorEastAsia" w:eastAsiaTheme="minorEastAsia" w:hAnsiTheme="minorEastAsia" w:hint="eastAsia"/>
          <w:sz w:val="24"/>
          <w:szCs w:val="28"/>
        </w:rPr>
        <w:t>。</w:t>
      </w:r>
    </w:p>
    <w:p w14:paraId="5AD7EC95" w14:textId="77777777" w:rsidR="00F1332D" w:rsidRDefault="00877A14" w:rsidP="00F1332D">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3.</w:t>
      </w:r>
      <w:r w:rsidR="00F1332D">
        <w:rPr>
          <w:rFonts w:asciiTheme="minorEastAsia" w:eastAsiaTheme="minorEastAsia" w:hAnsiTheme="minorEastAsia" w:cs="宋体" w:hint="eastAsia"/>
          <w:b/>
          <w:kern w:val="0"/>
          <w:sz w:val="28"/>
          <w:szCs w:val="32"/>
        </w:rPr>
        <w:t>主要试验（或验证）情况</w:t>
      </w:r>
    </w:p>
    <w:p w14:paraId="289BFD9A" w14:textId="77777777" w:rsidR="002A3890" w:rsidRPr="00DE7DEF" w:rsidRDefault="002A3890" w:rsidP="002A3890">
      <w:pPr>
        <w:spacing w:line="360" w:lineRule="auto"/>
        <w:rPr>
          <w:b/>
          <w:bCs/>
          <w:sz w:val="28"/>
          <w:szCs w:val="28"/>
        </w:rPr>
      </w:pPr>
      <w:r w:rsidRPr="00DE7DEF">
        <w:rPr>
          <w:b/>
          <w:bCs/>
          <w:sz w:val="28"/>
          <w:szCs w:val="28"/>
        </w:rPr>
        <w:t xml:space="preserve">3.1 </w:t>
      </w:r>
      <w:r w:rsidRPr="00DE7DEF">
        <w:rPr>
          <w:b/>
          <w:bCs/>
          <w:sz w:val="28"/>
          <w:szCs w:val="28"/>
        </w:rPr>
        <w:t>定性试验</w:t>
      </w:r>
    </w:p>
    <w:p w14:paraId="035CBEE3" w14:textId="77777777" w:rsidR="002A3890" w:rsidRPr="00116A24" w:rsidRDefault="002A3890"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用</w:t>
      </w:r>
      <w:r w:rsidRPr="00116A24">
        <w:rPr>
          <w:rFonts w:asciiTheme="minorEastAsia" w:eastAsiaTheme="minorEastAsia" w:hAnsiTheme="minorEastAsia" w:hint="eastAsia"/>
          <w:sz w:val="24"/>
          <w:szCs w:val="28"/>
        </w:rPr>
        <w:t>2</w:t>
      </w:r>
      <w:r w:rsidRPr="00116A24">
        <w:rPr>
          <w:rFonts w:asciiTheme="minorEastAsia" w:eastAsiaTheme="minorEastAsia" w:hAnsiTheme="minorEastAsia"/>
          <w:sz w:val="24"/>
          <w:szCs w:val="28"/>
        </w:rPr>
        <w:t>0 mg/L的标准溶液在</w:t>
      </w:r>
      <w:r w:rsidRPr="00116A24">
        <w:rPr>
          <w:rFonts w:asciiTheme="minorEastAsia" w:eastAsiaTheme="minorEastAsia" w:hAnsiTheme="minorEastAsia" w:hint="eastAsia"/>
          <w:sz w:val="24"/>
          <w:szCs w:val="28"/>
        </w:rPr>
        <w:t>本文</w:t>
      </w:r>
      <w:r w:rsidRPr="00116A24">
        <w:rPr>
          <w:rFonts w:asciiTheme="minorEastAsia" w:eastAsiaTheme="minorEastAsia" w:hAnsiTheme="minorEastAsia"/>
          <w:sz w:val="24"/>
          <w:szCs w:val="28"/>
        </w:rPr>
        <w:t>色谱条件下进行液相色谱分析。以下为定性试验图谱，见图1所示。</w:t>
      </w:r>
    </w:p>
    <w:p w14:paraId="1813B7F3" w14:textId="77777777" w:rsidR="002A3890" w:rsidRPr="00DE7DEF" w:rsidRDefault="002A3890" w:rsidP="002A3890">
      <w:pPr>
        <w:spacing w:line="360" w:lineRule="auto"/>
        <w:ind w:firstLineChars="200" w:firstLine="560"/>
        <w:jc w:val="center"/>
        <w:rPr>
          <w:sz w:val="28"/>
          <w:szCs w:val="28"/>
        </w:rPr>
      </w:pPr>
      <w:r w:rsidRPr="002A3890">
        <w:rPr>
          <w:noProof/>
          <w:sz w:val="28"/>
          <w:szCs w:val="28"/>
        </w:rPr>
        <w:drawing>
          <wp:inline distT="0" distB="0" distL="0" distR="0" wp14:anchorId="18E88A91" wp14:editId="2C18A043">
            <wp:extent cx="4986068" cy="2586847"/>
            <wp:effectExtent l="19050" t="0" r="5032"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3691" cy="2585614"/>
                    </a:xfrm>
                    <a:prstGeom prst="rect">
                      <a:avLst/>
                    </a:prstGeom>
                    <a:noFill/>
                    <a:ln>
                      <a:noFill/>
                    </a:ln>
                  </pic:spPr>
                </pic:pic>
              </a:graphicData>
            </a:graphic>
          </wp:inline>
        </w:drawing>
      </w:r>
    </w:p>
    <w:p w14:paraId="4784A292" w14:textId="77777777" w:rsidR="002A3890" w:rsidRPr="00DE7DEF" w:rsidRDefault="002A3890" w:rsidP="002A3890">
      <w:pPr>
        <w:spacing w:line="360" w:lineRule="auto"/>
        <w:ind w:firstLineChars="800" w:firstLine="1680"/>
        <w:jc w:val="center"/>
        <w:rPr>
          <w:rFonts w:ascii="黑体" w:eastAsia="黑体" w:hAnsi="黑体"/>
          <w:szCs w:val="21"/>
        </w:rPr>
      </w:pPr>
      <w:r w:rsidRPr="00DE7DEF">
        <w:rPr>
          <w:rFonts w:ascii="黑体" w:eastAsia="黑体" w:hAnsi="黑体"/>
          <w:szCs w:val="21"/>
        </w:rPr>
        <w:t>图1</w:t>
      </w:r>
      <w:r>
        <w:rPr>
          <w:rFonts w:ascii="黑体" w:eastAsia="黑体" w:hAnsi="黑体" w:hint="eastAsia"/>
          <w:szCs w:val="21"/>
        </w:rPr>
        <w:t xml:space="preserve"> </w:t>
      </w:r>
      <w:r w:rsidRPr="00DE7DEF">
        <w:rPr>
          <w:rFonts w:ascii="黑体" w:eastAsia="黑体" w:hAnsi="黑体"/>
          <w:szCs w:val="21"/>
        </w:rPr>
        <w:t>3种防腐剂标准溶液色谱图</w:t>
      </w:r>
    </w:p>
    <w:p w14:paraId="465D84D8" w14:textId="77777777" w:rsidR="002A3890" w:rsidRPr="00116A24" w:rsidRDefault="002A3890"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试验结果表明：在</w:t>
      </w:r>
      <w:r w:rsidRPr="00116A24">
        <w:rPr>
          <w:rFonts w:asciiTheme="minorEastAsia" w:eastAsiaTheme="minorEastAsia" w:hAnsiTheme="minorEastAsia" w:hint="eastAsia"/>
          <w:sz w:val="24"/>
          <w:szCs w:val="28"/>
        </w:rPr>
        <w:t>本文</w:t>
      </w:r>
      <w:r w:rsidRPr="00116A24">
        <w:rPr>
          <w:rFonts w:asciiTheme="minorEastAsia" w:eastAsiaTheme="minorEastAsia" w:hAnsiTheme="minorEastAsia"/>
          <w:sz w:val="24"/>
          <w:szCs w:val="28"/>
        </w:rPr>
        <w:t>色谱条件下，MIT出峰时间为3.</w:t>
      </w:r>
      <w:r w:rsidRPr="00116A24">
        <w:rPr>
          <w:rFonts w:asciiTheme="minorEastAsia" w:eastAsiaTheme="minorEastAsia" w:hAnsiTheme="minorEastAsia" w:hint="eastAsia"/>
          <w:sz w:val="24"/>
          <w:szCs w:val="28"/>
        </w:rPr>
        <w:t>390</w:t>
      </w:r>
      <w:r w:rsidRPr="00116A24">
        <w:rPr>
          <w:rFonts w:asciiTheme="minorEastAsia" w:eastAsiaTheme="minorEastAsia" w:hAnsiTheme="minorEastAsia"/>
          <w:sz w:val="24"/>
          <w:szCs w:val="28"/>
        </w:rPr>
        <w:t>min，SB出峰时间为4.</w:t>
      </w:r>
      <w:r w:rsidRPr="00116A24">
        <w:rPr>
          <w:rFonts w:asciiTheme="minorEastAsia" w:eastAsiaTheme="minorEastAsia" w:hAnsiTheme="minorEastAsia" w:hint="eastAsia"/>
          <w:sz w:val="24"/>
          <w:szCs w:val="28"/>
        </w:rPr>
        <w:t>370</w:t>
      </w:r>
      <w:r w:rsidRPr="00116A24">
        <w:rPr>
          <w:rFonts w:asciiTheme="minorEastAsia" w:eastAsiaTheme="minorEastAsia" w:hAnsiTheme="minorEastAsia"/>
          <w:sz w:val="24"/>
          <w:szCs w:val="28"/>
        </w:rPr>
        <w:t>min，CIT出峰时间为</w:t>
      </w:r>
      <w:r w:rsidRPr="00116A24">
        <w:rPr>
          <w:rFonts w:asciiTheme="minorEastAsia" w:eastAsiaTheme="minorEastAsia" w:hAnsiTheme="minorEastAsia" w:hint="eastAsia"/>
          <w:sz w:val="24"/>
          <w:szCs w:val="28"/>
        </w:rPr>
        <w:t>6.187</w:t>
      </w:r>
      <w:r w:rsidRPr="00116A24">
        <w:rPr>
          <w:rFonts w:asciiTheme="minorEastAsia" w:eastAsiaTheme="minorEastAsia" w:hAnsiTheme="minorEastAsia"/>
          <w:sz w:val="24"/>
          <w:szCs w:val="28"/>
        </w:rPr>
        <w:t>min，能够实现完全分离。</w:t>
      </w:r>
    </w:p>
    <w:p w14:paraId="0CBE2917" w14:textId="77777777" w:rsidR="002A3890" w:rsidRPr="00DE7DEF" w:rsidRDefault="002A3890" w:rsidP="002A3890">
      <w:pPr>
        <w:tabs>
          <w:tab w:val="left" w:pos="1896"/>
        </w:tabs>
        <w:spacing w:line="360" w:lineRule="auto"/>
        <w:rPr>
          <w:b/>
          <w:bCs/>
          <w:sz w:val="28"/>
          <w:szCs w:val="28"/>
        </w:rPr>
      </w:pPr>
      <w:r w:rsidRPr="00DE7DEF">
        <w:rPr>
          <w:b/>
          <w:bCs/>
          <w:sz w:val="28"/>
          <w:szCs w:val="28"/>
        </w:rPr>
        <w:t>3.</w:t>
      </w:r>
      <w:r>
        <w:rPr>
          <w:rFonts w:hint="eastAsia"/>
          <w:b/>
          <w:bCs/>
          <w:sz w:val="28"/>
          <w:szCs w:val="28"/>
        </w:rPr>
        <w:t>2</w:t>
      </w:r>
      <w:r w:rsidRPr="00DE7DEF">
        <w:rPr>
          <w:b/>
          <w:bCs/>
          <w:sz w:val="28"/>
          <w:szCs w:val="28"/>
        </w:rPr>
        <w:t>标准曲线</w:t>
      </w:r>
    </w:p>
    <w:p w14:paraId="763B09EE" w14:textId="77777777" w:rsidR="002A3890" w:rsidRPr="00116A24" w:rsidRDefault="002A3890"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按</w:t>
      </w:r>
      <w:r w:rsidRPr="00116A24">
        <w:rPr>
          <w:rFonts w:asciiTheme="minorEastAsia" w:eastAsiaTheme="minorEastAsia" w:hAnsiTheme="minorEastAsia" w:hint="eastAsia"/>
          <w:sz w:val="24"/>
          <w:szCs w:val="28"/>
        </w:rPr>
        <w:t>本文</w:t>
      </w:r>
      <w:r w:rsidRPr="00116A24">
        <w:rPr>
          <w:rFonts w:asciiTheme="minorEastAsia" w:eastAsiaTheme="minorEastAsia" w:hAnsiTheme="minorEastAsia"/>
          <w:sz w:val="24"/>
          <w:szCs w:val="28"/>
        </w:rPr>
        <w:t>配制3种防腐剂的混合标准工作溶液，然后按</w:t>
      </w:r>
      <w:r w:rsidRPr="00116A24">
        <w:rPr>
          <w:rFonts w:asciiTheme="minorEastAsia" w:eastAsiaTheme="minorEastAsia" w:hAnsiTheme="minorEastAsia" w:hint="eastAsia"/>
          <w:sz w:val="24"/>
          <w:szCs w:val="28"/>
        </w:rPr>
        <w:t>本文</w:t>
      </w:r>
      <w:r w:rsidRPr="00116A24">
        <w:rPr>
          <w:rFonts w:asciiTheme="minorEastAsia" w:eastAsiaTheme="minorEastAsia" w:hAnsiTheme="minorEastAsia"/>
          <w:sz w:val="24"/>
          <w:szCs w:val="28"/>
        </w:rPr>
        <w:t>色谱条件分别进行测定，进样量10μL，用防腐剂的峰面积与其的浓度绘图。建立线性方程。线性结果见表1所示。</w:t>
      </w:r>
    </w:p>
    <w:p w14:paraId="51F8E09A" w14:textId="77777777" w:rsidR="002A3890" w:rsidRPr="00DE7DEF" w:rsidRDefault="002A3890" w:rsidP="00E43ED5">
      <w:pPr>
        <w:spacing w:line="360" w:lineRule="auto"/>
        <w:jc w:val="center"/>
        <w:rPr>
          <w:rFonts w:ascii="黑体" w:eastAsia="黑体" w:hAnsi="黑体"/>
          <w:szCs w:val="21"/>
        </w:rPr>
      </w:pPr>
      <w:r w:rsidRPr="00DE7DEF">
        <w:rPr>
          <w:rFonts w:ascii="黑体" w:eastAsia="黑体" w:hAnsi="黑体"/>
          <w:szCs w:val="21"/>
        </w:rPr>
        <w:t>表1方法线性关系</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6"/>
        <w:gridCol w:w="1620"/>
        <w:gridCol w:w="2201"/>
        <w:gridCol w:w="1980"/>
      </w:tblGrid>
      <w:tr w:rsidR="002A3890" w:rsidRPr="00E43ED5" w14:paraId="5555D3EE" w14:textId="77777777" w:rsidTr="00E43ED5">
        <w:trPr>
          <w:jc w:val="center"/>
        </w:trPr>
        <w:tc>
          <w:tcPr>
            <w:tcW w:w="1456" w:type="dxa"/>
            <w:vAlign w:val="center"/>
          </w:tcPr>
          <w:p w14:paraId="53CD5893" w14:textId="77777777" w:rsidR="002A3890" w:rsidRPr="00E43ED5" w:rsidRDefault="002A3890" w:rsidP="009C0A5D">
            <w:pPr>
              <w:ind w:rightChars="120" w:right="252"/>
              <w:jc w:val="center"/>
              <w:rPr>
                <w:sz w:val="22"/>
                <w:szCs w:val="21"/>
              </w:rPr>
            </w:pPr>
            <w:r w:rsidRPr="00E43ED5">
              <w:rPr>
                <w:sz w:val="22"/>
                <w:szCs w:val="21"/>
              </w:rPr>
              <w:t>化合物</w:t>
            </w:r>
          </w:p>
        </w:tc>
        <w:tc>
          <w:tcPr>
            <w:tcW w:w="1620" w:type="dxa"/>
            <w:vAlign w:val="center"/>
          </w:tcPr>
          <w:p w14:paraId="07CBD712" w14:textId="77777777" w:rsidR="002A3890" w:rsidRPr="00E43ED5" w:rsidRDefault="002A3890" w:rsidP="009C0A5D">
            <w:pPr>
              <w:ind w:rightChars="120" w:right="252"/>
              <w:jc w:val="center"/>
              <w:rPr>
                <w:sz w:val="22"/>
                <w:szCs w:val="21"/>
              </w:rPr>
            </w:pPr>
            <w:r w:rsidRPr="00E43ED5">
              <w:rPr>
                <w:sz w:val="22"/>
                <w:szCs w:val="21"/>
              </w:rPr>
              <w:t>线性范围</w:t>
            </w:r>
          </w:p>
        </w:tc>
        <w:tc>
          <w:tcPr>
            <w:tcW w:w="2201" w:type="dxa"/>
            <w:vAlign w:val="center"/>
          </w:tcPr>
          <w:p w14:paraId="320694F2" w14:textId="77777777" w:rsidR="002A3890" w:rsidRPr="00E43ED5" w:rsidRDefault="002A3890" w:rsidP="009C0A5D">
            <w:pPr>
              <w:jc w:val="center"/>
              <w:rPr>
                <w:sz w:val="22"/>
                <w:szCs w:val="21"/>
              </w:rPr>
            </w:pPr>
            <w:r w:rsidRPr="00E43ED5">
              <w:rPr>
                <w:sz w:val="22"/>
                <w:szCs w:val="21"/>
              </w:rPr>
              <w:t>线性方程</w:t>
            </w:r>
          </w:p>
        </w:tc>
        <w:tc>
          <w:tcPr>
            <w:tcW w:w="1980" w:type="dxa"/>
            <w:vAlign w:val="center"/>
          </w:tcPr>
          <w:p w14:paraId="418CE5B9" w14:textId="77777777" w:rsidR="002A3890" w:rsidRPr="00E43ED5" w:rsidRDefault="002A3890" w:rsidP="009C0A5D">
            <w:pPr>
              <w:jc w:val="center"/>
              <w:rPr>
                <w:sz w:val="22"/>
                <w:szCs w:val="21"/>
              </w:rPr>
            </w:pPr>
            <w:r w:rsidRPr="00E43ED5">
              <w:rPr>
                <w:sz w:val="22"/>
                <w:szCs w:val="21"/>
              </w:rPr>
              <w:t>线性相关系数</w:t>
            </w:r>
            <w:r w:rsidRPr="00E43ED5">
              <w:rPr>
                <w:sz w:val="22"/>
                <w:szCs w:val="21"/>
              </w:rPr>
              <w:t>R</w:t>
            </w:r>
            <w:r w:rsidRPr="00E43ED5">
              <w:rPr>
                <w:sz w:val="22"/>
                <w:szCs w:val="21"/>
                <w:vertAlign w:val="superscript"/>
              </w:rPr>
              <w:t>2</w:t>
            </w:r>
          </w:p>
        </w:tc>
      </w:tr>
      <w:tr w:rsidR="002A3890" w:rsidRPr="00E43ED5" w14:paraId="1A92AC48" w14:textId="77777777" w:rsidTr="00E43ED5">
        <w:trPr>
          <w:jc w:val="center"/>
        </w:trPr>
        <w:tc>
          <w:tcPr>
            <w:tcW w:w="1456" w:type="dxa"/>
            <w:vAlign w:val="center"/>
          </w:tcPr>
          <w:p w14:paraId="58B0369D" w14:textId="77777777" w:rsidR="002A3890" w:rsidRPr="00E43ED5" w:rsidRDefault="002A3890" w:rsidP="009C0A5D">
            <w:pPr>
              <w:jc w:val="center"/>
              <w:rPr>
                <w:sz w:val="22"/>
                <w:szCs w:val="21"/>
              </w:rPr>
            </w:pPr>
            <w:r w:rsidRPr="00E43ED5">
              <w:rPr>
                <w:sz w:val="22"/>
                <w:szCs w:val="21"/>
              </w:rPr>
              <w:lastRenderedPageBreak/>
              <w:t>MIT</w:t>
            </w:r>
          </w:p>
        </w:tc>
        <w:tc>
          <w:tcPr>
            <w:tcW w:w="1620" w:type="dxa"/>
            <w:vAlign w:val="center"/>
          </w:tcPr>
          <w:p w14:paraId="7B2C071D" w14:textId="77777777" w:rsidR="002A3890" w:rsidRPr="00E43ED5" w:rsidRDefault="00DD0B5F" w:rsidP="002A3890">
            <w:pPr>
              <w:jc w:val="center"/>
              <w:rPr>
                <w:sz w:val="22"/>
                <w:szCs w:val="21"/>
              </w:rPr>
            </w:pPr>
            <w:r w:rsidRPr="00E43ED5">
              <w:rPr>
                <w:rFonts w:hint="eastAsia"/>
                <w:sz w:val="22"/>
                <w:szCs w:val="21"/>
              </w:rPr>
              <w:t>0.5</w:t>
            </w:r>
            <w:r w:rsidR="002A3890" w:rsidRPr="00E43ED5">
              <w:rPr>
                <w:sz w:val="22"/>
                <w:szCs w:val="21"/>
              </w:rPr>
              <w:t>~</w:t>
            </w:r>
            <w:r w:rsidR="002A3890" w:rsidRPr="00E43ED5">
              <w:rPr>
                <w:rFonts w:hint="eastAsia"/>
                <w:sz w:val="22"/>
                <w:szCs w:val="21"/>
              </w:rPr>
              <w:t>2</w:t>
            </w:r>
            <w:r w:rsidR="002A3890" w:rsidRPr="00E43ED5">
              <w:rPr>
                <w:sz w:val="22"/>
                <w:szCs w:val="21"/>
              </w:rPr>
              <w:t>0 mg/L</w:t>
            </w:r>
          </w:p>
        </w:tc>
        <w:tc>
          <w:tcPr>
            <w:tcW w:w="2201" w:type="dxa"/>
            <w:vAlign w:val="center"/>
          </w:tcPr>
          <w:p w14:paraId="6319DAD2" w14:textId="77777777" w:rsidR="002A3890" w:rsidRPr="00E43ED5" w:rsidRDefault="002A3890" w:rsidP="002A3890">
            <w:pPr>
              <w:jc w:val="center"/>
              <w:rPr>
                <w:sz w:val="22"/>
                <w:szCs w:val="21"/>
              </w:rPr>
            </w:pPr>
            <w:r w:rsidRPr="00E43ED5">
              <w:rPr>
                <w:sz w:val="22"/>
                <w:szCs w:val="21"/>
              </w:rPr>
              <w:t>y = 0.4</w:t>
            </w:r>
            <w:r w:rsidRPr="00E43ED5">
              <w:rPr>
                <w:rFonts w:hint="eastAsia"/>
                <w:sz w:val="22"/>
                <w:szCs w:val="21"/>
              </w:rPr>
              <w:t>478</w:t>
            </w:r>
            <w:r w:rsidRPr="00E43ED5">
              <w:rPr>
                <w:sz w:val="22"/>
                <w:szCs w:val="21"/>
              </w:rPr>
              <w:t>x</w:t>
            </w:r>
          </w:p>
        </w:tc>
        <w:tc>
          <w:tcPr>
            <w:tcW w:w="1980" w:type="dxa"/>
            <w:vAlign w:val="center"/>
          </w:tcPr>
          <w:p w14:paraId="71EC8AB8" w14:textId="77777777" w:rsidR="002A3890" w:rsidRPr="00E43ED5" w:rsidRDefault="002A3890" w:rsidP="009C0A5D">
            <w:pPr>
              <w:jc w:val="center"/>
              <w:rPr>
                <w:sz w:val="22"/>
                <w:szCs w:val="21"/>
              </w:rPr>
            </w:pPr>
            <w:r w:rsidRPr="00E43ED5">
              <w:rPr>
                <w:sz w:val="22"/>
                <w:szCs w:val="21"/>
              </w:rPr>
              <w:t>0.9999</w:t>
            </w:r>
          </w:p>
        </w:tc>
      </w:tr>
      <w:tr w:rsidR="002A3890" w:rsidRPr="00E43ED5" w14:paraId="44D25BAB" w14:textId="77777777" w:rsidTr="00E43ED5">
        <w:trPr>
          <w:jc w:val="center"/>
        </w:trPr>
        <w:tc>
          <w:tcPr>
            <w:tcW w:w="1456" w:type="dxa"/>
            <w:vAlign w:val="center"/>
          </w:tcPr>
          <w:p w14:paraId="07E80E51" w14:textId="77777777" w:rsidR="002A3890" w:rsidRPr="00E43ED5" w:rsidRDefault="002A3890" w:rsidP="009C0A5D">
            <w:pPr>
              <w:jc w:val="center"/>
              <w:rPr>
                <w:sz w:val="22"/>
                <w:szCs w:val="21"/>
              </w:rPr>
            </w:pPr>
            <w:r w:rsidRPr="00E43ED5">
              <w:rPr>
                <w:sz w:val="22"/>
                <w:szCs w:val="21"/>
              </w:rPr>
              <w:t>SB</w:t>
            </w:r>
          </w:p>
        </w:tc>
        <w:tc>
          <w:tcPr>
            <w:tcW w:w="1620" w:type="dxa"/>
            <w:vAlign w:val="center"/>
          </w:tcPr>
          <w:p w14:paraId="6C79E9D4" w14:textId="77777777" w:rsidR="002A3890" w:rsidRPr="00E43ED5" w:rsidRDefault="00DD0B5F" w:rsidP="002A3890">
            <w:pPr>
              <w:jc w:val="center"/>
              <w:rPr>
                <w:sz w:val="22"/>
                <w:szCs w:val="21"/>
              </w:rPr>
            </w:pPr>
            <w:r w:rsidRPr="00E43ED5">
              <w:rPr>
                <w:rFonts w:hint="eastAsia"/>
                <w:sz w:val="22"/>
                <w:szCs w:val="21"/>
              </w:rPr>
              <w:t>0.5</w:t>
            </w:r>
            <w:r w:rsidR="002A3890" w:rsidRPr="00E43ED5">
              <w:rPr>
                <w:sz w:val="22"/>
                <w:szCs w:val="21"/>
              </w:rPr>
              <w:t>~</w:t>
            </w:r>
            <w:r w:rsidR="002A3890" w:rsidRPr="00E43ED5">
              <w:rPr>
                <w:rFonts w:hint="eastAsia"/>
                <w:sz w:val="22"/>
                <w:szCs w:val="21"/>
              </w:rPr>
              <w:t>2</w:t>
            </w:r>
            <w:r w:rsidR="002A3890" w:rsidRPr="00E43ED5">
              <w:rPr>
                <w:sz w:val="22"/>
                <w:szCs w:val="21"/>
              </w:rPr>
              <w:t>0mg/L</w:t>
            </w:r>
          </w:p>
        </w:tc>
        <w:tc>
          <w:tcPr>
            <w:tcW w:w="2201" w:type="dxa"/>
            <w:vAlign w:val="center"/>
          </w:tcPr>
          <w:p w14:paraId="1C0C50E5" w14:textId="77777777" w:rsidR="002A3890" w:rsidRPr="00E43ED5" w:rsidRDefault="002A3890" w:rsidP="002A3890">
            <w:pPr>
              <w:jc w:val="center"/>
              <w:rPr>
                <w:sz w:val="22"/>
                <w:szCs w:val="21"/>
              </w:rPr>
            </w:pPr>
            <w:r w:rsidRPr="00E43ED5">
              <w:rPr>
                <w:sz w:val="22"/>
                <w:szCs w:val="21"/>
              </w:rPr>
              <w:t>y =0.</w:t>
            </w:r>
            <w:r w:rsidRPr="00E43ED5">
              <w:rPr>
                <w:rFonts w:hint="eastAsia"/>
                <w:sz w:val="22"/>
                <w:szCs w:val="21"/>
              </w:rPr>
              <w:t>3551</w:t>
            </w:r>
            <w:r w:rsidRPr="00E43ED5">
              <w:rPr>
                <w:sz w:val="22"/>
                <w:szCs w:val="21"/>
              </w:rPr>
              <w:t>x</w:t>
            </w:r>
          </w:p>
        </w:tc>
        <w:tc>
          <w:tcPr>
            <w:tcW w:w="1980" w:type="dxa"/>
            <w:vAlign w:val="center"/>
          </w:tcPr>
          <w:p w14:paraId="1F8823CE" w14:textId="77777777" w:rsidR="002A3890" w:rsidRPr="00E43ED5" w:rsidRDefault="002A3890" w:rsidP="002A3890">
            <w:pPr>
              <w:jc w:val="center"/>
              <w:rPr>
                <w:sz w:val="22"/>
                <w:szCs w:val="21"/>
              </w:rPr>
            </w:pPr>
            <w:r w:rsidRPr="00E43ED5">
              <w:rPr>
                <w:sz w:val="22"/>
                <w:szCs w:val="21"/>
              </w:rPr>
              <w:t>0.99</w:t>
            </w:r>
            <w:r w:rsidRPr="00E43ED5">
              <w:rPr>
                <w:rFonts w:hint="eastAsia"/>
                <w:sz w:val="22"/>
                <w:szCs w:val="21"/>
              </w:rPr>
              <w:t>99</w:t>
            </w:r>
          </w:p>
        </w:tc>
      </w:tr>
      <w:tr w:rsidR="002A3890" w:rsidRPr="00E43ED5" w14:paraId="70217C03" w14:textId="77777777" w:rsidTr="00E43ED5">
        <w:trPr>
          <w:jc w:val="center"/>
        </w:trPr>
        <w:tc>
          <w:tcPr>
            <w:tcW w:w="1456" w:type="dxa"/>
            <w:vAlign w:val="center"/>
          </w:tcPr>
          <w:p w14:paraId="5513940C" w14:textId="77777777" w:rsidR="002A3890" w:rsidRPr="00E43ED5" w:rsidRDefault="002A3890" w:rsidP="009C0A5D">
            <w:pPr>
              <w:jc w:val="center"/>
              <w:rPr>
                <w:sz w:val="22"/>
                <w:szCs w:val="21"/>
              </w:rPr>
            </w:pPr>
            <w:r w:rsidRPr="00E43ED5">
              <w:rPr>
                <w:sz w:val="22"/>
                <w:szCs w:val="21"/>
              </w:rPr>
              <w:t>CIT</w:t>
            </w:r>
          </w:p>
        </w:tc>
        <w:tc>
          <w:tcPr>
            <w:tcW w:w="1620" w:type="dxa"/>
            <w:vAlign w:val="center"/>
          </w:tcPr>
          <w:p w14:paraId="6B2383E6" w14:textId="77777777" w:rsidR="002A3890" w:rsidRPr="00E43ED5" w:rsidRDefault="00DD0B5F" w:rsidP="002A3890">
            <w:pPr>
              <w:jc w:val="center"/>
              <w:rPr>
                <w:sz w:val="22"/>
                <w:szCs w:val="21"/>
              </w:rPr>
            </w:pPr>
            <w:r w:rsidRPr="00E43ED5">
              <w:rPr>
                <w:rFonts w:hint="eastAsia"/>
                <w:sz w:val="22"/>
                <w:szCs w:val="21"/>
              </w:rPr>
              <w:t>0.5</w:t>
            </w:r>
            <w:r w:rsidR="002A3890" w:rsidRPr="00E43ED5">
              <w:rPr>
                <w:sz w:val="22"/>
                <w:szCs w:val="21"/>
              </w:rPr>
              <w:t>~</w:t>
            </w:r>
            <w:r w:rsidR="002A3890" w:rsidRPr="00E43ED5">
              <w:rPr>
                <w:rFonts w:hint="eastAsia"/>
                <w:sz w:val="22"/>
                <w:szCs w:val="21"/>
              </w:rPr>
              <w:t>2</w:t>
            </w:r>
            <w:r w:rsidR="002A3890" w:rsidRPr="00E43ED5">
              <w:rPr>
                <w:sz w:val="22"/>
                <w:szCs w:val="21"/>
              </w:rPr>
              <w:t>0 mg/L</w:t>
            </w:r>
          </w:p>
        </w:tc>
        <w:tc>
          <w:tcPr>
            <w:tcW w:w="2201" w:type="dxa"/>
            <w:vAlign w:val="center"/>
          </w:tcPr>
          <w:p w14:paraId="4C87EBD7" w14:textId="77777777" w:rsidR="002A3890" w:rsidRPr="00E43ED5" w:rsidRDefault="002A3890" w:rsidP="002A3890">
            <w:pPr>
              <w:jc w:val="center"/>
              <w:rPr>
                <w:sz w:val="22"/>
                <w:szCs w:val="21"/>
              </w:rPr>
            </w:pPr>
            <w:r w:rsidRPr="00E43ED5">
              <w:rPr>
                <w:sz w:val="22"/>
                <w:szCs w:val="21"/>
              </w:rPr>
              <w:t>y =0.3</w:t>
            </w:r>
            <w:r w:rsidRPr="00E43ED5">
              <w:rPr>
                <w:rFonts w:hint="eastAsia"/>
                <w:sz w:val="22"/>
                <w:szCs w:val="21"/>
              </w:rPr>
              <w:t>587</w:t>
            </w:r>
            <w:r w:rsidRPr="00E43ED5">
              <w:rPr>
                <w:sz w:val="22"/>
                <w:szCs w:val="21"/>
              </w:rPr>
              <w:t>x</w:t>
            </w:r>
          </w:p>
        </w:tc>
        <w:tc>
          <w:tcPr>
            <w:tcW w:w="1980" w:type="dxa"/>
            <w:vAlign w:val="center"/>
          </w:tcPr>
          <w:p w14:paraId="156F767E" w14:textId="77777777" w:rsidR="002A3890" w:rsidRPr="00E43ED5" w:rsidRDefault="002A3890" w:rsidP="002A3890">
            <w:pPr>
              <w:jc w:val="center"/>
              <w:rPr>
                <w:sz w:val="22"/>
                <w:szCs w:val="21"/>
              </w:rPr>
            </w:pPr>
            <w:r w:rsidRPr="00E43ED5">
              <w:rPr>
                <w:sz w:val="22"/>
                <w:szCs w:val="21"/>
              </w:rPr>
              <w:t>0.999</w:t>
            </w:r>
            <w:r w:rsidRPr="00E43ED5">
              <w:rPr>
                <w:rFonts w:hint="eastAsia"/>
                <w:sz w:val="22"/>
                <w:szCs w:val="21"/>
              </w:rPr>
              <w:t>9</w:t>
            </w:r>
          </w:p>
        </w:tc>
      </w:tr>
    </w:tbl>
    <w:p w14:paraId="4F9F80CA" w14:textId="77777777" w:rsidR="00DD0B5F" w:rsidRPr="00116A24" w:rsidRDefault="002A3890"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实验结果表明：该方法能实现3种防腐剂的高效分离与高灵敏检测，方法具有良好的线性，线性相关系数均大于0.999。</w:t>
      </w:r>
    </w:p>
    <w:p w14:paraId="351CAF68" w14:textId="77777777" w:rsidR="00DD0B5F" w:rsidRPr="00DE7DEF" w:rsidRDefault="00DD0B5F" w:rsidP="00DD0B5F">
      <w:pPr>
        <w:spacing w:line="360" w:lineRule="auto"/>
        <w:rPr>
          <w:b/>
          <w:bCs/>
          <w:sz w:val="28"/>
          <w:szCs w:val="28"/>
        </w:rPr>
      </w:pPr>
      <w:r w:rsidRPr="00DE7DEF">
        <w:rPr>
          <w:b/>
          <w:bCs/>
          <w:sz w:val="28"/>
          <w:szCs w:val="28"/>
        </w:rPr>
        <w:t>3.</w:t>
      </w:r>
      <w:r>
        <w:rPr>
          <w:rFonts w:hint="eastAsia"/>
          <w:b/>
          <w:bCs/>
          <w:sz w:val="28"/>
          <w:szCs w:val="28"/>
        </w:rPr>
        <w:t>3</w:t>
      </w:r>
      <w:r w:rsidRPr="00DE7DEF">
        <w:rPr>
          <w:b/>
          <w:sz w:val="28"/>
          <w:szCs w:val="28"/>
        </w:rPr>
        <w:t>仪器的检出限和定量下限</w:t>
      </w:r>
    </w:p>
    <w:p w14:paraId="28820372" w14:textId="77777777" w:rsidR="00DD0B5F" w:rsidRPr="00116A24" w:rsidRDefault="00DD0B5F"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稀释并检测混合标准溶液，测定峰高信噪比为10:1时的浓度确定为本仪器的定量下限0.</w:t>
      </w:r>
      <w:r w:rsidRPr="00116A24">
        <w:rPr>
          <w:rFonts w:asciiTheme="minorEastAsia" w:eastAsiaTheme="minorEastAsia" w:hAnsiTheme="minorEastAsia" w:hint="eastAsia"/>
          <w:sz w:val="24"/>
          <w:szCs w:val="28"/>
        </w:rPr>
        <w:t xml:space="preserve">5 </w:t>
      </w:r>
      <w:r w:rsidRPr="00116A24">
        <w:rPr>
          <w:rFonts w:asciiTheme="minorEastAsia" w:eastAsiaTheme="minorEastAsia" w:hAnsiTheme="minorEastAsia"/>
          <w:sz w:val="24"/>
          <w:szCs w:val="28"/>
        </w:rPr>
        <w:t>mg/L；测定峰高信噪比为3:1时的浓度确定为本仪器的检出限为0.</w:t>
      </w:r>
      <w:r w:rsidRPr="00116A24">
        <w:rPr>
          <w:rFonts w:asciiTheme="minorEastAsia" w:eastAsiaTheme="minorEastAsia" w:hAnsiTheme="minorEastAsia" w:hint="eastAsia"/>
          <w:sz w:val="24"/>
          <w:szCs w:val="28"/>
        </w:rPr>
        <w:t xml:space="preserve">2 </w:t>
      </w:r>
      <w:r w:rsidRPr="00116A24">
        <w:rPr>
          <w:rFonts w:asciiTheme="minorEastAsia" w:eastAsiaTheme="minorEastAsia" w:hAnsiTheme="minorEastAsia"/>
          <w:sz w:val="24"/>
          <w:szCs w:val="28"/>
        </w:rPr>
        <w:t>mg/L。</w:t>
      </w:r>
    </w:p>
    <w:p w14:paraId="1ECAFE03" w14:textId="77777777" w:rsidR="00DD0B5F" w:rsidRPr="00DE7DEF" w:rsidRDefault="00DD0B5F" w:rsidP="00DD0B5F">
      <w:pPr>
        <w:spacing w:line="360" w:lineRule="auto"/>
        <w:rPr>
          <w:b/>
          <w:bCs/>
          <w:sz w:val="28"/>
          <w:szCs w:val="28"/>
        </w:rPr>
      </w:pPr>
      <w:r w:rsidRPr="00DE7DEF">
        <w:rPr>
          <w:b/>
          <w:bCs/>
          <w:sz w:val="28"/>
          <w:szCs w:val="28"/>
        </w:rPr>
        <w:t>3.</w:t>
      </w:r>
      <w:r>
        <w:rPr>
          <w:rFonts w:hint="eastAsia"/>
          <w:b/>
          <w:bCs/>
          <w:sz w:val="28"/>
          <w:szCs w:val="28"/>
        </w:rPr>
        <w:t>4</w:t>
      </w:r>
      <w:r w:rsidRPr="00DE7DEF">
        <w:rPr>
          <w:b/>
          <w:bCs/>
          <w:sz w:val="28"/>
          <w:szCs w:val="28"/>
        </w:rPr>
        <w:t>方法检出限</w:t>
      </w:r>
    </w:p>
    <w:p w14:paraId="6C7F8B82" w14:textId="77777777" w:rsidR="002A3890" w:rsidRPr="00116A24" w:rsidRDefault="00DD0B5F"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sz w:val="24"/>
          <w:szCs w:val="28"/>
        </w:rPr>
        <w:t>按合格评定标准GB/T 27417-2017，在阴性试样中加入标准物质，按本方法进行前处理和测定，测定峰高信噪比为10:1时添加的防腐剂量确定为方法的最低定量浓度</w:t>
      </w:r>
      <w:r w:rsidRPr="00116A24">
        <w:rPr>
          <w:rFonts w:asciiTheme="minorEastAsia" w:eastAsiaTheme="minorEastAsia" w:hAnsiTheme="minorEastAsia" w:hint="eastAsia"/>
          <w:sz w:val="24"/>
          <w:szCs w:val="28"/>
        </w:rPr>
        <w:t>2.</w:t>
      </w:r>
      <w:r w:rsidRPr="00116A24">
        <w:rPr>
          <w:rFonts w:asciiTheme="minorEastAsia" w:eastAsiaTheme="minorEastAsia" w:hAnsiTheme="minorEastAsia"/>
          <w:sz w:val="24"/>
          <w:szCs w:val="28"/>
        </w:rPr>
        <w:t>5 mg/kg；测定峰高信噪比为3:1时添加的防腐剂量确定为本方法的最低检出浓度为</w:t>
      </w:r>
      <w:r w:rsidRPr="00116A24">
        <w:rPr>
          <w:rFonts w:asciiTheme="minorEastAsia" w:eastAsiaTheme="minorEastAsia" w:hAnsiTheme="minorEastAsia" w:hint="eastAsia"/>
          <w:sz w:val="24"/>
          <w:szCs w:val="28"/>
        </w:rPr>
        <w:t>1</w:t>
      </w:r>
      <w:r w:rsidRPr="00116A24">
        <w:rPr>
          <w:rFonts w:asciiTheme="minorEastAsia" w:eastAsiaTheme="minorEastAsia" w:hAnsiTheme="minorEastAsia"/>
          <w:sz w:val="24"/>
          <w:szCs w:val="28"/>
        </w:rPr>
        <w:t xml:space="preserve"> mg/kg。</w:t>
      </w:r>
    </w:p>
    <w:p w14:paraId="7417F2EF" w14:textId="77777777" w:rsidR="002A3890" w:rsidRPr="00DE7DEF" w:rsidRDefault="002A3890" w:rsidP="002A3890">
      <w:pPr>
        <w:tabs>
          <w:tab w:val="left" w:pos="1896"/>
        </w:tabs>
        <w:spacing w:line="360" w:lineRule="auto"/>
        <w:rPr>
          <w:b/>
          <w:bCs/>
          <w:sz w:val="28"/>
          <w:szCs w:val="28"/>
        </w:rPr>
      </w:pPr>
      <w:r w:rsidRPr="00DE7DEF">
        <w:rPr>
          <w:b/>
          <w:bCs/>
          <w:sz w:val="28"/>
          <w:szCs w:val="28"/>
        </w:rPr>
        <w:t>3.</w:t>
      </w:r>
      <w:r w:rsidR="00DD0B5F">
        <w:rPr>
          <w:rFonts w:hint="eastAsia"/>
          <w:b/>
          <w:bCs/>
          <w:sz w:val="28"/>
          <w:szCs w:val="28"/>
        </w:rPr>
        <w:t>5</w:t>
      </w:r>
      <w:r>
        <w:rPr>
          <w:rFonts w:hint="eastAsia"/>
          <w:b/>
          <w:bCs/>
          <w:sz w:val="28"/>
          <w:szCs w:val="28"/>
        </w:rPr>
        <w:t>实际样品检测</w:t>
      </w:r>
    </w:p>
    <w:p w14:paraId="55CFACA4" w14:textId="77777777" w:rsidR="00F1332D" w:rsidRPr="00116A24" w:rsidRDefault="002A3890"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在国内市场上购买</w:t>
      </w:r>
      <w:r w:rsidR="0075155A" w:rsidRPr="00116A24">
        <w:rPr>
          <w:rFonts w:asciiTheme="minorEastAsia" w:eastAsiaTheme="minorEastAsia" w:hAnsiTheme="minorEastAsia" w:hint="eastAsia"/>
          <w:sz w:val="24"/>
          <w:szCs w:val="28"/>
        </w:rPr>
        <w:t>36批次食品用洗涤剂，其3种防腐剂的检测结果见表</w:t>
      </w:r>
      <w:r w:rsidR="00116A24">
        <w:rPr>
          <w:rFonts w:asciiTheme="minorEastAsia" w:eastAsiaTheme="minorEastAsia" w:hAnsiTheme="minorEastAsia" w:hint="eastAsia"/>
          <w:sz w:val="24"/>
          <w:szCs w:val="28"/>
        </w:rPr>
        <w:t>2</w:t>
      </w:r>
      <w:r w:rsidRPr="00116A24">
        <w:rPr>
          <w:rFonts w:asciiTheme="minorEastAsia" w:eastAsiaTheme="minorEastAsia" w:hAnsiTheme="minorEastAsia" w:hint="eastAsia"/>
          <w:sz w:val="24"/>
          <w:szCs w:val="28"/>
        </w:rPr>
        <w:t>。</w:t>
      </w:r>
    </w:p>
    <w:p w14:paraId="1B1EE61F" w14:textId="77777777" w:rsidR="0075155A" w:rsidRPr="00116A24" w:rsidRDefault="0075155A" w:rsidP="00180BC2">
      <w:pPr>
        <w:snapToGrid w:val="0"/>
        <w:spacing w:line="360" w:lineRule="auto"/>
        <w:jc w:val="center"/>
        <w:rPr>
          <w:rFonts w:ascii="黑体" w:eastAsia="黑体" w:hAnsi="黑体"/>
          <w:sz w:val="22"/>
          <w:szCs w:val="28"/>
        </w:rPr>
      </w:pPr>
      <w:r w:rsidRPr="00116A24">
        <w:rPr>
          <w:rFonts w:ascii="黑体" w:eastAsia="黑体" w:hAnsi="黑体" w:hint="eastAsia"/>
          <w:sz w:val="22"/>
          <w:szCs w:val="28"/>
        </w:rPr>
        <w:t>表</w:t>
      </w:r>
      <w:r w:rsidR="00116A24" w:rsidRPr="00116A24">
        <w:rPr>
          <w:rFonts w:ascii="黑体" w:eastAsia="黑体" w:hAnsi="黑体" w:hint="eastAsia"/>
          <w:sz w:val="22"/>
          <w:szCs w:val="28"/>
        </w:rPr>
        <w:t>2</w:t>
      </w:r>
      <w:r w:rsidRPr="00116A24">
        <w:rPr>
          <w:rFonts w:ascii="黑体" w:eastAsia="黑体" w:hAnsi="黑体" w:hint="eastAsia"/>
          <w:sz w:val="22"/>
          <w:szCs w:val="28"/>
        </w:rPr>
        <w:t xml:space="preserve"> 食品用洗涤剂中3种防腐剂的检测结果</w:t>
      </w:r>
      <w:r w:rsidR="00180BC2" w:rsidRPr="00116A24">
        <w:rPr>
          <w:rFonts w:ascii="黑体" w:eastAsia="黑体" w:hAnsi="黑体" w:hint="eastAsia"/>
          <w:sz w:val="22"/>
          <w:szCs w:val="28"/>
        </w:rPr>
        <w:t>（mg/kg）</w:t>
      </w:r>
    </w:p>
    <w:tbl>
      <w:tblPr>
        <w:tblW w:w="5000" w:type="pct"/>
        <w:jc w:val="center"/>
        <w:tblLook w:val="04A0" w:firstRow="1" w:lastRow="0" w:firstColumn="1" w:lastColumn="0" w:noHBand="0" w:noVBand="1"/>
      </w:tblPr>
      <w:tblGrid>
        <w:gridCol w:w="1136"/>
        <w:gridCol w:w="1179"/>
        <w:gridCol w:w="1158"/>
        <w:gridCol w:w="1179"/>
        <w:gridCol w:w="1135"/>
        <w:gridCol w:w="1324"/>
        <w:gridCol w:w="1135"/>
        <w:gridCol w:w="1324"/>
      </w:tblGrid>
      <w:tr w:rsidR="00180BC2" w:rsidRPr="00116A24" w14:paraId="0E78516A" w14:textId="77777777" w:rsidTr="00E43ED5">
        <w:trPr>
          <w:jc w:val="center"/>
        </w:trPr>
        <w:tc>
          <w:tcPr>
            <w:tcW w:w="59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B6F053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hAnsiTheme="minorEastAsia"/>
                <w:color w:val="000000"/>
                <w:kern w:val="0"/>
                <w:sz w:val="22"/>
                <w:szCs w:val="21"/>
              </w:rPr>
              <w:t>样品</w:t>
            </w:r>
          </w:p>
        </w:tc>
        <w:tc>
          <w:tcPr>
            <w:tcW w:w="616" w:type="pct"/>
            <w:tcBorders>
              <w:top w:val="single" w:sz="8" w:space="0" w:color="auto"/>
              <w:left w:val="nil"/>
              <w:bottom w:val="single" w:sz="8" w:space="0" w:color="auto"/>
              <w:right w:val="single" w:sz="8" w:space="0" w:color="auto"/>
            </w:tcBorders>
            <w:shd w:val="clear" w:color="auto" w:fill="auto"/>
            <w:vAlign w:val="center"/>
            <w:hideMark/>
          </w:tcPr>
          <w:p w14:paraId="3D289DB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MIT</w:t>
            </w:r>
          </w:p>
        </w:tc>
        <w:tc>
          <w:tcPr>
            <w:tcW w:w="605" w:type="pct"/>
            <w:tcBorders>
              <w:top w:val="single" w:sz="8" w:space="0" w:color="auto"/>
              <w:left w:val="nil"/>
              <w:bottom w:val="single" w:sz="8" w:space="0" w:color="auto"/>
              <w:right w:val="single" w:sz="8" w:space="0" w:color="auto"/>
            </w:tcBorders>
            <w:shd w:val="clear" w:color="auto" w:fill="auto"/>
            <w:vAlign w:val="center"/>
            <w:hideMark/>
          </w:tcPr>
          <w:p w14:paraId="5A3699C4"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SB</w:t>
            </w:r>
          </w:p>
        </w:tc>
        <w:tc>
          <w:tcPr>
            <w:tcW w:w="616" w:type="pct"/>
            <w:tcBorders>
              <w:top w:val="single" w:sz="8" w:space="0" w:color="auto"/>
              <w:left w:val="nil"/>
              <w:bottom w:val="single" w:sz="8" w:space="0" w:color="auto"/>
              <w:right w:val="single" w:sz="8" w:space="0" w:color="auto"/>
            </w:tcBorders>
            <w:shd w:val="clear" w:color="auto" w:fill="auto"/>
            <w:vAlign w:val="center"/>
            <w:hideMark/>
          </w:tcPr>
          <w:p w14:paraId="7BB5E7D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CMIT</w:t>
            </w:r>
          </w:p>
        </w:tc>
        <w:tc>
          <w:tcPr>
            <w:tcW w:w="593" w:type="pct"/>
            <w:tcBorders>
              <w:top w:val="single" w:sz="8" w:space="0" w:color="auto"/>
              <w:left w:val="nil"/>
              <w:bottom w:val="single" w:sz="8" w:space="0" w:color="auto"/>
              <w:right w:val="single" w:sz="8" w:space="0" w:color="auto"/>
            </w:tcBorders>
            <w:shd w:val="clear" w:color="auto" w:fill="auto"/>
            <w:vAlign w:val="center"/>
            <w:hideMark/>
          </w:tcPr>
          <w:p w14:paraId="0C8B212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hAnsiTheme="minorEastAsia"/>
                <w:color w:val="000000"/>
                <w:kern w:val="0"/>
                <w:sz w:val="22"/>
                <w:szCs w:val="21"/>
              </w:rPr>
              <w:t>样品</w:t>
            </w:r>
          </w:p>
        </w:tc>
        <w:tc>
          <w:tcPr>
            <w:tcW w:w="692" w:type="pct"/>
            <w:tcBorders>
              <w:top w:val="single" w:sz="8" w:space="0" w:color="auto"/>
              <w:left w:val="nil"/>
              <w:bottom w:val="single" w:sz="8" w:space="0" w:color="auto"/>
              <w:right w:val="single" w:sz="8" w:space="0" w:color="auto"/>
            </w:tcBorders>
            <w:shd w:val="clear" w:color="auto" w:fill="auto"/>
            <w:vAlign w:val="center"/>
            <w:hideMark/>
          </w:tcPr>
          <w:p w14:paraId="5084BD0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MIT</w:t>
            </w:r>
          </w:p>
        </w:tc>
        <w:tc>
          <w:tcPr>
            <w:tcW w:w="593" w:type="pct"/>
            <w:tcBorders>
              <w:top w:val="single" w:sz="8" w:space="0" w:color="auto"/>
              <w:left w:val="nil"/>
              <w:bottom w:val="single" w:sz="8" w:space="0" w:color="auto"/>
              <w:right w:val="single" w:sz="8" w:space="0" w:color="auto"/>
            </w:tcBorders>
            <w:shd w:val="clear" w:color="auto" w:fill="auto"/>
            <w:vAlign w:val="center"/>
            <w:hideMark/>
          </w:tcPr>
          <w:p w14:paraId="0F555F5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SB</w:t>
            </w:r>
          </w:p>
        </w:tc>
        <w:tc>
          <w:tcPr>
            <w:tcW w:w="692" w:type="pct"/>
            <w:tcBorders>
              <w:top w:val="single" w:sz="8" w:space="0" w:color="auto"/>
              <w:left w:val="nil"/>
              <w:bottom w:val="single" w:sz="8" w:space="0" w:color="auto"/>
              <w:right w:val="single" w:sz="8" w:space="0" w:color="auto"/>
            </w:tcBorders>
            <w:shd w:val="clear" w:color="auto" w:fill="auto"/>
            <w:vAlign w:val="center"/>
            <w:hideMark/>
          </w:tcPr>
          <w:p w14:paraId="59362D6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CMIT</w:t>
            </w:r>
          </w:p>
        </w:tc>
      </w:tr>
      <w:tr w:rsidR="00180BC2" w:rsidRPr="00116A24" w14:paraId="1847E9F0"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38D7FB3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w:t>
            </w:r>
          </w:p>
        </w:tc>
        <w:tc>
          <w:tcPr>
            <w:tcW w:w="616" w:type="pct"/>
            <w:tcBorders>
              <w:top w:val="nil"/>
              <w:left w:val="nil"/>
              <w:bottom w:val="single" w:sz="8" w:space="0" w:color="auto"/>
              <w:right w:val="single" w:sz="8" w:space="0" w:color="auto"/>
            </w:tcBorders>
            <w:shd w:val="clear" w:color="auto" w:fill="auto"/>
            <w:vAlign w:val="center"/>
            <w:hideMark/>
          </w:tcPr>
          <w:p w14:paraId="50CC5CA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59.7</w:t>
            </w:r>
          </w:p>
        </w:tc>
        <w:tc>
          <w:tcPr>
            <w:tcW w:w="605" w:type="pct"/>
            <w:tcBorders>
              <w:top w:val="nil"/>
              <w:left w:val="nil"/>
              <w:bottom w:val="single" w:sz="8" w:space="0" w:color="auto"/>
              <w:right w:val="single" w:sz="8" w:space="0" w:color="auto"/>
            </w:tcBorders>
            <w:shd w:val="clear" w:color="auto" w:fill="auto"/>
            <w:vAlign w:val="center"/>
            <w:hideMark/>
          </w:tcPr>
          <w:p w14:paraId="4B0BEC1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236D957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3E0AA40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19#</w:t>
            </w:r>
          </w:p>
        </w:tc>
        <w:tc>
          <w:tcPr>
            <w:tcW w:w="692" w:type="pct"/>
            <w:tcBorders>
              <w:top w:val="nil"/>
              <w:left w:val="nil"/>
              <w:bottom w:val="single" w:sz="8" w:space="0" w:color="auto"/>
              <w:right w:val="single" w:sz="8" w:space="0" w:color="auto"/>
            </w:tcBorders>
            <w:shd w:val="clear" w:color="auto" w:fill="auto"/>
            <w:vAlign w:val="center"/>
            <w:hideMark/>
          </w:tcPr>
          <w:p w14:paraId="39449A0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3.38</w:t>
            </w:r>
          </w:p>
        </w:tc>
        <w:tc>
          <w:tcPr>
            <w:tcW w:w="593" w:type="pct"/>
            <w:tcBorders>
              <w:top w:val="nil"/>
              <w:left w:val="nil"/>
              <w:bottom w:val="single" w:sz="8" w:space="0" w:color="auto"/>
              <w:right w:val="single" w:sz="8" w:space="0" w:color="auto"/>
            </w:tcBorders>
            <w:shd w:val="clear" w:color="auto" w:fill="auto"/>
            <w:vAlign w:val="center"/>
            <w:hideMark/>
          </w:tcPr>
          <w:p w14:paraId="17D602C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0835F014"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4B906075"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19E6584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w:t>
            </w:r>
          </w:p>
        </w:tc>
        <w:tc>
          <w:tcPr>
            <w:tcW w:w="616" w:type="pct"/>
            <w:tcBorders>
              <w:top w:val="nil"/>
              <w:left w:val="nil"/>
              <w:bottom w:val="single" w:sz="8" w:space="0" w:color="auto"/>
              <w:right w:val="single" w:sz="8" w:space="0" w:color="auto"/>
            </w:tcBorders>
            <w:shd w:val="clear" w:color="auto" w:fill="auto"/>
            <w:vAlign w:val="center"/>
            <w:hideMark/>
          </w:tcPr>
          <w:p w14:paraId="34D58F8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6.82</w:t>
            </w:r>
          </w:p>
        </w:tc>
        <w:tc>
          <w:tcPr>
            <w:tcW w:w="605" w:type="pct"/>
            <w:tcBorders>
              <w:top w:val="nil"/>
              <w:left w:val="nil"/>
              <w:bottom w:val="single" w:sz="8" w:space="0" w:color="auto"/>
              <w:right w:val="single" w:sz="8" w:space="0" w:color="auto"/>
            </w:tcBorders>
            <w:shd w:val="clear" w:color="auto" w:fill="auto"/>
            <w:vAlign w:val="center"/>
            <w:hideMark/>
          </w:tcPr>
          <w:p w14:paraId="7FF12CC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624FA13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16.8</w:t>
            </w:r>
          </w:p>
        </w:tc>
        <w:tc>
          <w:tcPr>
            <w:tcW w:w="593" w:type="pct"/>
            <w:tcBorders>
              <w:top w:val="nil"/>
              <w:left w:val="nil"/>
              <w:bottom w:val="single" w:sz="8" w:space="0" w:color="auto"/>
              <w:right w:val="single" w:sz="8" w:space="0" w:color="auto"/>
            </w:tcBorders>
            <w:shd w:val="clear" w:color="auto" w:fill="auto"/>
            <w:vAlign w:val="center"/>
            <w:hideMark/>
          </w:tcPr>
          <w:p w14:paraId="23E97E0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20#</w:t>
            </w:r>
          </w:p>
        </w:tc>
        <w:tc>
          <w:tcPr>
            <w:tcW w:w="692" w:type="pct"/>
            <w:tcBorders>
              <w:top w:val="nil"/>
              <w:left w:val="nil"/>
              <w:bottom w:val="single" w:sz="8" w:space="0" w:color="auto"/>
              <w:right w:val="single" w:sz="8" w:space="0" w:color="auto"/>
            </w:tcBorders>
            <w:shd w:val="clear" w:color="auto" w:fill="auto"/>
            <w:vAlign w:val="center"/>
            <w:hideMark/>
          </w:tcPr>
          <w:p w14:paraId="4F937B8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3.51</w:t>
            </w:r>
          </w:p>
        </w:tc>
        <w:tc>
          <w:tcPr>
            <w:tcW w:w="593" w:type="pct"/>
            <w:tcBorders>
              <w:top w:val="nil"/>
              <w:left w:val="nil"/>
              <w:bottom w:val="single" w:sz="8" w:space="0" w:color="auto"/>
              <w:right w:val="single" w:sz="8" w:space="0" w:color="auto"/>
            </w:tcBorders>
            <w:shd w:val="clear" w:color="auto" w:fill="auto"/>
            <w:vAlign w:val="center"/>
            <w:hideMark/>
          </w:tcPr>
          <w:p w14:paraId="67F5AB8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56C12AB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35F767F4"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7CD1484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w:t>
            </w:r>
          </w:p>
        </w:tc>
        <w:tc>
          <w:tcPr>
            <w:tcW w:w="616" w:type="pct"/>
            <w:tcBorders>
              <w:top w:val="nil"/>
              <w:left w:val="nil"/>
              <w:bottom w:val="single" w:sz="8" w:space="0" w:color="auto"/>
              <w:right w:val="single" w:sz="8" w:space="0" w:color="auto"/>
            </w:tcBorders>
            <w:shd w:val="clear" w:color="auto" w:fill="auto"/>
            <w:vAlign w:val="center"/>
            <w:hideMark/>
          </w:tcPr>
          <w:p w14:paraId="03CE116E"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52.2</w:t>
            </w:r>
          </w:p>
        </w:tc>
        <w:tc>
          <w:tcPr>
            <w:tcW w:w="605" w:type="pct"/>
            <w:tcBorders>
              <w:top w:val="nil"/>
              <w:left w:val="nil"/>
              <w:bottom w:val="single" w:sz="8" w:space="0" w:color="auto"/>
              <w:right w:val="single" w:sz="8" w:space="0" w:color="auto"/>
            </w:tcBorders>
            <w:shd w:val="clear" w:color="auto" w:fill="auto"/>
            <w:vAlign w:val="center"/>
            <w:hideMark/>
          </w:tcPr>
          <w:p w14:paraId="137F496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152FE73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3.96</w:t>
            </w:r>
          </w:p>
        </w:tc>
        <w:tc>
          <w:tcPr>
            <w:tcW w:w="593" w:type="pct"/>
            <w:tcBorders>
              <w:top w:val="nil"/>
              <w:left w:val="nil"/>
              <w:bottom w:val="single" w:sz="8" w:space="0" w:color="auto"/>
              <w:right w:val="single" w:sz="8" w:space="0" w:color="auto"/>
            </w:tcBorders>
            <w:shd w:val="clear" w:color="auto" w:fill="auto"/>
            <w:vAlign w:val="center"/>
            <w:hideMark/>
          </w:tcPr>
          <w:p w14:paraId="69C5C09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21#</w:t>
            </w:r>
          </w:p>
        </w:tc>
        <w:tc>
          <w:tcPr>
            <w:tcW w:w="692" w:type="pct"/>
            <w:tcBorders>
              <w:top w:val="nil"/>
              <w:left w:val="nil"/>
              <w:bottom w:val="single" w:sz="8" w:space="0" w:color="auto"/>
              <w:right w:val="single" w:sz="8" w:space="0" w:color="auto"/>
            </w:tcBorders>
            <w:shd w:val="clear" w:color="auto" w:fill="auto"/>
            <w:vAlign w:val="center"/>
            <w:hideMark/>
          </w:tcPr>
          <w:p w14:paraId="6279F64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19.0</w:t>
            </w:r>
          </w:p>
        </w:tc>
        <w:tc>
          <w:tcPr>
            <w:tcW w:w="593" w:type="pct"/>
            <w:tcBorders>
              <w:top w:val="nil"/>
              <w:left w:val="nil"/>
              <w:bottom w:val="single" w:sz="8" w:space="0" w:color="auto"/>
              <w:right w:val="single" w:sz="8" w:space="0" w:color="auto"/>
            </w:tcBorders>
            <w:shd w:val="clear" w:color="auto" w:fill="auto"/>
            <w:vAlign w:val="center"/>
            <w:hideMark/>
          </w:tcPr>
          <w:p w14:paraId="7BEA266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60D06674"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47E48E56"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6F5BC01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w:t>
            </w:r>
          </w:p>
        </w:tc>
        <w:tc>
          <w:tcPr>
            <w:tcW w:w="616" w:type="pct"/>
            <w:tcBorders>
              <w:top w:val="nil"/>
              <w:left w:val="nil"/>
              <w:bottom w:val="single" w:sz="8" w:space="0" w:color="auto"/>
              <w:right w:val="single" w:sz="8" w:space="0" w:color="auto"/>
            </w:tcBorders>
            <w:shd w:val="clear" w:color="auto" w:fill="auto"/>
            <w:vAlign w:val="center"/>
            <w:hideMark/>
          </w:tcPr>
          <w:p w14:paraId="2DE6663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73.8</w:t>
            </w:r>
          </w:p>
        </w:tc>
        <w:tc>
          <w:tcPr>
            <w:tcW w:w="605" w:type="pct"/>
            <w:tcBorders>
              <w:top w:val="nil"/>
              <w:left w:val="nil"/>
              <w:bottom w:val="single" w:sz="8" w:space="0" w:color="auto"/>
              <w:right w:val="single" w:sz="8" w:space="0" w:color="auto"/>
            </w:tcBorders>
            <w:shd w:val="clear" w:color="auto" w:fill="auto"/>
            <w:vAlign w:val="center"/>
            <w:hideMark/>
          </w:tcPr>
          <w:p w14:paraId="7AEC16AE"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4E2F151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7F48BAD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22#</w:t>
            </w:r>
          </w:p>
        </w:tc>
        <w:tc>
          <w:tcPr>
            <w:tcW w:w="692" w:type="pct"/>
            <w:tcBorders>
              <w:top w:val="nil"/>
              <w:left w:val="nil"/>
              <w:bottom w:val="single" w:sz="8" w:space="0" w:color="auto"/>
              <w:right w:val="single" w:sz="8" w:space="0" w:color="auto"/>
            </w:tcBorders>
            <w:shd w:val="clear" w:color="auto" w:fill="auto"/>
            <w:vAlign w:val="center"/>
            <w:hideMark/>
          </w:tcPr>
          <w:p w14:paraId="2434BFB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8.42</w:t>
            </w:r>
          </w:p>
        </w:tc>
        <w:tc>
          <w:tcPr>
            <w:tcW w:w="593" w:type="pct"/>
            <w:tcBorders>
              <w:top w:val="nil"/>
              <w:left w:val="nil"/>
              <w:bottom w:val="single" w:sz="8" w:space="0" w:color="auto"/>
              <w:right w:val="single" w:sz="8" w:space="0" w:color="auto"/>
            </w:tcBorders>
            <w:shd w:val="clear" w:color="auto" w:fill="auto"/>
            <w:vAlign w:val="center"/>
            <w:hideMark/>
          </w:tcPr>
          <w:p w14:paraId="16ACBCC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7BD2250E"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10.2</w:t>
            </w:r>
          </w:p>
        </w:tc>
      </w:tr>
      <w:tr w:rsidR="00180BC2" w:rsidRPr="00116A24" w14:paraId="463CB226"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263543A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w:t>
            </w:r>
          </w:p>
        </w:tc>
        <w:tc>
          <w:tcPr>
            <w:tcW w:w="616" w:type="pct"/>
            <w:tcBorders>
              <w:top w:val="nil"/>
              <w:left w:val="nil"/>
              <w:bottom w:val="single" w:sz="8" w:space="0" w:color="auto"/>
              <w:right w:val="single" w:sz="8" w:space="0" w:color="auto"/>
            </w:tcBorders>
            <w:shd w:val="clear" w:color="auto" w:fill="auto"/>
            <w:vAlign w:val="center"/>
            <w:hideMark/>
          </w:tcPr>
          <w:p w14:paraId="6470F8F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05" w:type="pct"/>
            <w:tcBorders>
              <w:top w:val="nil"/>
              <w:left w:val="nil"/>
              <w:bottom w:val="single" w:sz="8" w:space="0" w:color="auto"/>
              <w:right w:val="single" w:sz="8" w:space="0" w:color="auto"/>
            </w:tcBorders>
            <w:shd w:val="clear" w:color="auto" w:fill="auto"/>
            <w:vAlign w:val="center"/>
            <w:hideMark/>
          </w:tcPr>
          <w:p w14:paraId="5D0B13E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0D06B93E"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2.53</w:t>
            </w:r>
          </w:p>
        </w:tc>
        <w:tc>
          <w:tcPr>
            <w:tcW w:w="593" w:type="pct"/>
            <w:tcBorders>
              <w:top w:val="nil"/>
              <w:left w:val="nil"/>
              <w:bottom w:val="single" w:sz="8" w:space="0" w:color="auto"/>
              <w:right w:val="single" w:sz="8" w:space="0" w:color="auto"/>
            </w:tcBorders>
            <w:shd w:val="clear" w:color="auto" w:fill="auto"/>
            <w:vAlign w:val="center"/>
            <w:hideMark/>
          </w:tcPr>
          <w:p w14:paraId="55FD47D4"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23#</w:t>
            </w:r>
          </w:p>
        </w:tc>
        <w:tc>
          <w:tcPr>
            <w:tcW w:w="692" w:type="pct"/>
            <w:tcBorders>
              <w:top w:val="nil"/>
              <w:left w:val="nil"/>
              <w:bottom w:val="single" w:sz="8" w:space="0" w:color="auto"/>
              <w:right w:val="single" w:sz="8" w:space="0" w:color="auto"/>
            </w:tcBorders>
            <w:shd w:val="clear" w:color="auto" w:fill="auto"/>
            <w:vAlign w:val="center"/>
            <w:hideMark/>
          </w:tcPr>
          <w:p w14:paraId="70B974B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5.12</w:t>
            </w:r>
          </w:p>
        </w:tc>
        <w:tc>
          <w:tcPr>
            <w:tcW w:w="593" w:type="pct"/>
            <w:tcBorders>
              <w:top w:val="nil"/>
              <w:left w:val="nil"/>
              <w:bottom w:val="single" w:sz="8" w:space="0" w:color="auto"/>
              <w:right w:val="single" w:sz="8" w:space="0" w:color="auto"/>
            </w:tcBorders>
            <w:shd w:val="clear" w:color="auto" w:fill="auto"/>
            <w:vAlign w:val="center"/>
            <w:hideMark/>
          </w:tcPr>
          <w:p w14:paraId="15BF957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71D6530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14E35CD4"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218B3E0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6#</w:t>
            </w:r>
          </w:p>
        </w:tc>
        <w:tc>
          <w:tcPr>
            <w:tcW w:w="616" w:type="pct"/>
            <w:tcBorders>
              <w:top w:val="nil"/>
              <w:left w:val="nil"/>
              <w:bottom w:val="single" w:sz="8" w:space="0" w:color="auto"/>
              <w:right w:val="single" w:sz="8" w:space="0" w:color="auto"/>
            </w:tcBorders>
            <w:shd w:val="clear" w:color="auto" w:fill="auto"/>
            <w:vAlign w:val="center"/>
            <w:hideMark/>
          </w:tcPr>
          <w:p w14:paraId="75D7BE2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12.1</w:t>
            </w:r>
          </w:p>
        </w:tc>
        <w:tc>
          <w:tcPr>
            <w:tcW w:w="605" w:type="pct"/>
            <w:tcBorders>
              <w:top w:val="nil"/>
              <w:left w:val="nil"/>
              <w:bottom w:val="single" w:sz="8" w:space="0" w:color="auto"/>
              <w:right w:val="single" w:sz="8" w:space="0" w:color="auto"/>
            </w:tcBorders>
            <w:shd w:val="clear" w:color="auto" w:fill="auto"/>
            <w:vAlign w:val="center"/>
            <w:hideMark/>
          </w:tcPr>
          <w:p w14:paraId="70A5D02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2430469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6B1196A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24#</w:t>
            </w:r>
          </w:p>
        </w:tc>
        <w:tc>
          <w:tcPr>
            <w:tcW w:w="692" w:type="pct"/>
            <w:tcBorders>
              <w:top w:val="nil"/>
              <w:left w:val="nil"/>
              <w:bottom w:val="single" w:sz="8" w:space="0" w:color="auto"/>
              <w:right w:val="single" w:sz="8" w:space="0" w:color="auto"/>
            </w:tcBorders>
            <w:shd w:val="clear" w:color="auto" w:fill="auto"/>
            <w:vAlign w:val="center"/>
            <w:hideMark/>
          </w:tcPr>
          <w:p w14:paraId="1CCE5A0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5.64</w:t>
            </w:r>
          </w:p>
        </w:tc>
        <w:tc>
          <w:tcPr>
            <w:tcW w:w="593" w:type="pct"/>
            <w:tcBorders>
              <w:top w:val="nil"/>
              <w:left w:val="nil"/>
              <w:bottom w:val="single" w:sz="8" w:space="0" w:color="auto"/>
              <w:right w:val="single" w:sz="8" w:space="0" w:color="auto"/>
            </w:tcBorders>
            <w:shd w:val="clear" w:color="auto" w:fill="auto"/>
            <w:vAlign w:val="center"/>
            <w:hideMark/>
          </w:tcPr>
          <w:p w14:paraId="336120C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30324DE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5.01</w:t>
            </w:r>
          </w:p>
        </w:tc>
      </w:tr>
      <w:tr w:rsidR="00180BC2" w:rsidRPr="00116A24" w14:paraId="0FA6C06A"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716CF68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7#</w:t>
            </w:r>
          </w:p>
        </w:tc>
        <w:tc>
          <w:tcPr>
            <w:tcW w:w="616" w:type="pct"/>
            <w:tcBorders>
              <w:top w:val="nil"/>
              <w:left w:val="nil"/>
              <w:bottom w:val="single" w:sz="8" w:space="0" w:color="auto"/>
              <w:right w:val="single" w:sz="8" w:space="0" w:color="auto"/>
            </w:tcBorders>
            <w:shd w:val="clear" w:color="auto" w:fill="auto"/>
            <w:vAlign w:val="center"/>
            <w:hideMark/>
          </w:tcPr>
          <w:p w14:paraId="7C3B484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4.90</w:t>
            </w:r>
          </w:p>
        </w:tc>
        <w:tc>
          <w:tcPr>
            <w:tcW w:w="605" w:type="pct"/>
            <w:tcBorders>
              <w:top w:val="nil"/>
              <w:left w:val="nil"/>
              <w:bottom w:val="single" w:sz="8" w:space="0" w:color="auto"/>
              <w:right w:val="single" w:sz="8" w:space="0" w:color="auto"/>
            </w:tcBorders>
            <w:shd w:val="clear" w:color="auto" w:fill="auto"/>
            <w:vAlign w:val="center"/>
            <w:hideMark/>
          </w:tcPr>
          <w:p w14:paraId="0950A98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768482D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8.50</w:t>
            </w:r>
          </w:p>
        </w:tc>
        <w:tc>
          <w:tcPr>
            <w:tcW w:w="593" w:type="pct"/>
            <w:tcBorders>
              <w:top w:val="nil"/>
              <w:left w:val="nil"/>
              <w:bottom w:val="single" w:sz="8" w:space="0" w:color="auto"/>
              <w:right w:val="single" w:sz="8" w:space="0" w:color="auto"/>
            </w:tcBorders>
            <w:shd w:val="clear" w:color="auto" w:fill="auto"/>
            <w:vAlign w:val="center"/>
            <w:hideMark/>
          </w:tcPr>
          <w:p w14:paraId="549D954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25#</w:t>
            </w:r>
          </w:p>
        </w:tc>
        <w:tc>
          <w:tcPr>
            <w:tcW w:w="692" w:type="pct"/>
            <w:tcBorders>
              <w:top w:val="nil"/>
              <w:left w:val="nil"/>
              <w:bottom w:val="single" w:sz="8" w:space="0" w:color="auto"/>
              <w:right w:val="single" w:sz="8" w:space="0" w:color="auto"/>
            </w:tcBorders>
            <w:shd w:val="clear" w:color="auto" w:fill="auto"/>
            <w:vAlign w:val="center"/>
            <w:hideMark/>
          </w:tcPr>
          <w:p w14:paraId="3C73BC59"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62.2</w:t>
            </w:r>
          </w:p>
        </w:tc>
        <w:tc>
          <w:tcPr>
            <w:tcW w:w="593" w:type="pct"/>
            <w:tcBorders>
              <w:top w:val="nil"/>
              <w:left w:val="nil"/>
              <w:bottom w:val="single" w:sz="8" w:space="0" w:color="auto"/>
              <w:right w:val="single" w:sz="8" w:space="0" w:color="auto"/>
            </w:tcBorders>
            <w:shd w:val="clear" w:color="auto" w:fill="auto"/>
            <w:vAlign w:val="center"/>
            <w:hideMark/>
          </w:tcPr>
          <w:p w14:paraId="3F0D851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04B7864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4E78D677"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0B30509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8#</w:t>
            </w:r>
          </w:p>
        </w:tc>
        <w:tc>
          <w:tcPr>
            <w:tcW w:w="616" w:type="pct"/>
            <w:tcBorders>
              <w:top w:val="nil"/>
              <w:left w:val="nil"/>
              <w:bottom w:val="single" w:sz="8" w:space="0" w:color="auto"/>
              <w:right w:val="single" w:sz="8" w:space="0" w:color="auto"/>
            </w:tcBorders>
            <w:shd w:val="clear" w:color="auto" w:fill="auto"/>
            <w:vAlign w:val="center"/>
            <w:hideMark/>
          </w:tcPr>
          <w:p w14:paraId="57907F8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6.24</w:t>
            </w:r>
          </w:p>
        </w:tc>
        <w:tc>
          <w:tcPr>
            <w:tcW w:w="605" w:type="pct"/>
            <w:tcBorders>
              <w:top w:val="nil"/>
              <w:left w:val="nil"/>
              <w:bottom w:val="single" w:sz="8" w:space="0" w:color="auto"/>
              <w:right w:val="single" w:sz="8" w:space="0" w:color="auto"/>
            </w:tcBorders>
            <w:shd w:val="clear" w:color="auto" w:fill="auto"/>
            <w:vAlign w:val="center"/>
            <w:hideMark/>
          </w:tcPr>
          <w:p w14:paraId="5D79539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12893AE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35A652DE"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26#</w:t>
            </w:r>
          </w:p>
        </w:tc>
        <w:tc>
          <w:tcPr>
            <w:tcW w:w="692" w:type="pct"/>
            <w:tcBorders>
              <w:top w:val="nil"/>
              <w:left w:val="nil"/>
              <w:bottom w:val="single" w:sz="8" w:space="0" w:color="auto"/>
              <w:right w:val="single" w:sz="8" w:space="0" w:color="auto"/>
            </w:tcBorders>
            <w:shd w:val="clear" w:color="auto" w:fill="auto"/>
            <w:vAlign w:val="center"/>
            <w:hideMark/>
          </w:tcPr>
          <w:p w14:paraId="48C5CE0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677E22B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6D075C9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0D44078D"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0CC86E9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9#</w:t>
            </w:r>
          </w:p>
        </w:tc>
        <w:tc>
          <w:tcPr>
            <w:tcW w:w="616" w:type="pct"/>
            <w:tcBorders>
              <w:top w:val="nil"/>
              <w:left w:val="nil"/>
              <w:bottom w:val="single" w:sz="8" w:space="0" w:color="auto"/>
              <w:right w:val="single" w:sz="8" w:space="0" w:color="auto"/>
            </w:tcBorders>
            <w:shd w:val="clear" w:color="auto" w:fill="auto"/>
            <w:vAlign w:val="center"/>
            <w:hideMark/>
          </w:tcPr>
          <w:p w14:paraId="00469AA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4.83</w:t>
            </w:r>
          </w:p>
        </w:tc>
        <w:tc>
          <w:tcPr>
            <w:tcW w:w="605" w:type="pct"/>
            <w:tcBorders>
              <w:top w:val="nil"/>
              <w:left w:val="nil"/>
              <w:bottom w:val="single" w:sz="8" w:space="0" w:color="auto"/>
              <w:right w:val="single" w:sz="8" w:space="0" w:color="auto"/>
            </w:tcBorders>
            <w:shd w:val="clear" w:color="auto" w:fill="auto"/>
            <w:vAlign w:val="center"/>
            <w:hideMark/>
          </w:tcPr>
          <w:p w14:paraId="2FA6BFD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2B19B103"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13A87A2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27#</w:t>
            </w:r>
          </w:p>
        </w:tc>
        <w:tc>
          <w:tcPr>
            <w:tcW w:w="692" w:type="pct"/>
            <w:tcBorders>
              <w:top w:val="nil"/>
              <w:left w:val="nil"/>
              <w:bottom w:val="single" w:sz="8" w:space="0" w:color="auto"/>
              <w:right w:val="single" w:sz="8" w:space="0" w:color="auto"/>
            </w:tcBorders>
            <w:shd w:val="clear" w:color="auto" w:fill="auto"/>
            <w:vAlign w:val="center"/>
            <w:hideMark/>
          </w:tcPr>
          <w:p w14:paraId="416347F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18CCBD1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017F574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5F657DA0"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05E26E04"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10#</w:t>
            </w:r>
          </w:p>
        </w:tc>
        <w:tc>
          <w:tcPr>
            <w:tcW w:w="616" w:type="pct"/>
            <w:tcBorders>
              <w:top w:val="nil"/>
              <w:left w:val="nil"/>
              <w:bottom w:val="single" w:sz="8" w:space="0" w:color="auto"/>
              <w:right w:val="single" w:sz="8" w:space="0" w:color="auto"/>
            </w:tcBorders>
            <w:shd w:val="clear" w:color="auto" w:fill="auto"/>
            <w:vAlign w:val="center"/>
            <w:hideMark/>
          </w:tcPr>
          <w:p w14:paraId="5AA33A8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4.80</w:t>
            </w:r>
          </w:p>
        </w:tc>
        <w:tc>
          <w:tcPr>
            <w:tcW w:w="605" w:type="pct"/>
            <w:tcBorders>
              <w:top w:val="nil"/>
              <w:left w:val="nil"/>
              <w:bottom w:val="single" w:sz="8" w:space="0" w:color="auto"/>
              <w:right w:val="single" w:sz="8" w:space="0" w:color="auto"/>
            </w:tcBorders>
            <w:shd w:val="clear" w:color="auto" w:fill="auto"/>
            <w:vAlign w:val="center"/>
            <w:hideMark/>
          </w:tcPr>
          <w:p w14:paraId="430814A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280E470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7.32</w:t>
            </w:r>
          </w:p>
        </w:tc>
        <w:tc>
          <w:tcPr>
            <w:tcW w:w="593" w:type="pct"/>
            <w:tcBorders>
              <w:top w:val="nil"/>
              <w:left w:val="nil"/>
              <w:bottom w:val="single" w:sz="8" w:space="0" w:color="auto"/>
              <w:right w:val="single" w:sz="8" w:space="0" w:color="auto"/>
            </w:tcBorders>
            <w:shd w:val="clear" w:color="auto" w:fill="auto"/>
            <w:vAlign w:val="center"/>
            <w:hideMark/>
          </w:tcPr>
          <w:p w14:paraId="46C6CB8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28#</w:t>
            </w:r>
          </w:p>
        </w:tc>
        <w:tc>
          <w:tcPr>
            <w:tcW w:w="692" w:type="pct"/>
            <w:tcBorders>
              <w:top w:val="nil"/>
              <w:left w:val="nil"/>
              <w:bottom w:val="single" w:sz="8" w:space="0" w:color="auto"/>
              <w:right w:val="single" w:sz="8" w:space="0" w:color="auto"/>
            </w:tcBorders>
            <w:shd w:val="clear" w:color="auto" w:fill="auto"/>
            <w:vAlign w:val="center"/>
            <w:hideMark/>
          </w:tcPr>
          <w:p w14:paraId="5379DB0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4.51</w:t>
            </w:r>
          </w:p>
        </w:tc>
        <w:tc>
          <w:tcPr>
            <w:tcW w:w="593" w:type="pct"/>
            <w:tcBorders>
              <w:top w:val="nil"/>
              <w:left w:val="nil"/>
              <w:bottom w:val="single" w:sz="8" w:space="0" w:color="auto"/>
              <w:right w:val="single" w:sz="8" w:space="0" w:color="auto"/>
            </w:tcBorders>
            <w:shd w:val="clear" w:color="auto" w:fill="auto"/>
            <w:vAlign w:val="center"/>
            <w:hideMark/>
          </w:tcPr>
          <w:p w14:paraId="04D5244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7FDD146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5C94B553"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53914FD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11#</w:t>
            </w:r>
          </w:p>
        </w:tc>
        <w:tc>
          <w:tcPr>
            <w:tcW w:w="616" w:type="pct"/>
            <w:tcBorders>
              <w:top w:val="nil"/>
              <w:left w:val="nil"/>
              <w:bottom w:val="single" w:sz="8" w:space="0" w:color="auto"/>
              <w:right w:val="single" w:sz="8" w:space="0" w:color="auto"/>
            </w:tcBorders>
            <w:shd w:val="clear" w:color="auto" w:fill="auto"/>
            <w:vAlign w:val="center"/>
            <w:hideMark/>
          </w:tcPr>
          <w:p w14:paraId="08B100D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5.95</w:t>
            </w:r>
          </w:p>
        </w:tc>
        <w:tc>
          <w:tcPr>
            <w:tcW w:w="605" w:type="pct"/>
            <w:tcBorders>
              <w:top w:val="nil"/>
              <w:left w:val="nil"/>
              <w:bottom w:val="single" w:sz="8" w:space="0" w:color="auto"/>
              <w:right w:val="single" w:sz="8" w:space="0" w:color="auto"/>
            </w:tcBorders>
            <w:shd w:val="clear" w:color="auto" w:fill="auto"/>
            <w:vAlign w:val="center"/>
            <w:hideMark/>
          </w:tcPr>
          <w:p w14:paraId="0979024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0258578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8.52</w:t>
            </w:r>
          </w:p>
        </w:tc>
        <w:tc>
          <w:tcPr>
            <w:tcW w:w="593" w:type="pct"/>
            <w:tcBorders>
              <w:top w:val="nil"/>
              <w:left w:val="nil"/>
              <w:bottom w:val="single" w:sz="8" w:space="0" w:color="auto"/>
              <w:right w:val="single" w:sz="8" w:space="0" w:color="auto"/>
            </w:tcBorders>
            <w:shd w:val="clear" w:color="auto" w:fill="auto"/>
            <w:vAlign w:val="center"/>
            <w:hideMark/>
          </w:tcPr>
          <w:p w14:paraId="1222765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29#</w:t>
            </w:r>
          </w:p>
        </w:tc>
        <w:tc>
          <w:tcPr>
            <w:tcW w:w="692" w:type="pct"/>
            <w:tcBorders>
              <w:top w:val="nil"/>
              <w:left w:val="nil"/>
              <w:bottom w:val="single" w:sz="8" w:space="0" w:color="auto"/>
              <w:right w:val="single" w:sz="8" w:space="0" w:color="auto"/>
            </w:tcBorders>
            <w:shd w:val="clear" w:color="auto" w:fill="auto"/>
            <w:vAlign w:val="center"/>
            <w:hideMark/>
          </w:tcPr>
          <w:p w14:paraId="4F22A619"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11.2</w:t>
            </w:r>
          </w:p>
        </w:tc>
        <w:tc>
          <w:tcPr>
            <w:tcW w:w="593" w:type="pct"/>
            <w:tcBorders>
              <w:top w:val="nil"/>
              <w:left w:val="nil"/>
              <w:bottom w:val="single" w:sz="8" w:space="0" w:color="auto"/>
              <w:right w:val="single" w:sz="8" w:space="0" w:color="auto"/>
            </w:tcBorders>
            <w:shd w:val="clear" w:color="auto" w:fill="auto"/>
            <w:vAlign w:val="center"/>
            <w:hideMark/>
          </w:tcPr>
          <w:p w14:paraId="7F4AEA4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780B179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6D463502"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4FFD1747"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12#</w:t>
            </w:r>
          </w:p>
        </w:tc>
        <w:tc>
          <w:tcPr>
            <w:tcW w:w="616" w:type="pct"/>
            <w:tcBorders>
              <w:top w:val="nil"/>
              <w:left w:val="nil"/>
              <w:bottom w:val="single" w:sz="8" w:space="0" w:color="auto"/>
              <w:right w:val="single" w:sz="8" w:space="0" w:color="auto"/>
            </w:tcBorders>
            <w:shd w:val="clear" w:color="auto" w:fill="auto"/>
            <w:vAlign w:val="center"/>
            <w:hideMark/>
          </w:tcPr>
          <w:p w14:paraId="3B72EEB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7.09</w:t>
            </w:r>
          </w:p>
        </w:tc>
        <w:tc>
          <w:tcPr>
            <w:tcW w:w="605" w:type="pct"/>
            <w:tcBorders>
              <w:top w:val="nil"/>
              <w:left w:val="nil"/>
              <w:bottom w:val="single" w:sz="8" w:space="0" w:color="auto"/>
              <w:right w:val="single" w:sz="8" w:space="0" w:color="auto"/>
            </w:tcBorders>
            <w:shd w:val="clear" w:color="auto" w:fill="auto"/>
            <w:vAlign w:val="center"/>
            <w:hideMark/>
          </w:tcPr>
          <w:p w14:paraId="433D8A5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2AF243D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2B20729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30#</w:t>
            </w:r>
          </w:p>
        </w:tc>
        <w:tc>
          <w:tcPr>
            <w:tcW w:w="692" w:type="pct"/>
            <w:tcBorders>
              <w:top w:val="nil"/>
              <w:left w:val="nil"/>
              <w:bottom w:val="single" w:sz="8" w:space="0" w:color="auto"/>
              <w:right w:val="single" w:sz="8" w:space="0" w:color="auto"/>
            </w:tcBorders>
            <w:shd w:val="clear" w:color="auto" w:fill="auto"/>
            <w:vAlign w:val="center"/>
            <w:hideMark/>
          </w:tcPr>
          <w:p w14:paraId="16D886D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3.88</w:t>
            </w:r>
          </w:p>
        </w:tc>
        <w:tc>
          <w:tcPr>
            <w:tcW w:w="593" w:type="pct"/>
            <w:tcBorders>
              <w:top w:val="nil"/>
              <w:left w:val="nil"/>
              <w:bottom w:val="single" w:sz="8" w:space="0" w:color="auto"/>
              <w:right w:val="single" w:sz="8" w:space="0" w:color="auto"/>
            </w:tcBorders>
            <w:shd w:val="clear" w:color="auto" w:fill="auto"/>
            <w:vAlign w:val="center"/>
            <w:hideMark/>
          </w:tcPr>
          <w:p w14:paraId="0BB8946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43213DA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0AB34EBD"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396C80A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13#</w:t>
            </w:r>
          </w:p>
        </w:tc>
        <w:tc>
          <w:tcPr>
            <w:tcW w:w="616" w:type="pct"/>
            <w:tcBorders>
              <w:top w:val="nil"/>
              <w:left w:val="nil"/>
              <w:bottom w:val="single" w:sz="8" w:space="0" w:color="auto"/>
              <w:right w:val="single" w:sz="8" w:space="0" w:color="auto"/>
            </w:tcBorders>
            <w:shd w:val="clear" w:color="auto" w:fill="auto"/>
            <w:vAlign w:val="center"/>
            <w:hideMark/>
          </w:tcPr>
          <w:p w14:paraId="1290EC2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4.31</w:t>
            </w:r>
          </w:p>
        </w:tc>
        <w:tc>
          <w:tcPr>
            <w:tcW w:w="605" w:type="pct"/>
            <w:tcBorders>
              <w:top w:val="nil"/>
              <w:left w:val="nil"/>
              <w:bottom w:val="single" w:sz="8" w:space="0" w:color="auto"/>
              <w:right w:val="single" w:sz="8" w:space="0" w:color="auto"/>
            </w:tcBorders>
            <w:shd w:val="clear" w:color="auto" w:fill="auto"/>
            <w:vAlign w:val="center"/>
            <w:hideMark/>
          </w:tcPr>
          <w:p w14:paraId="5CC13BD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7C215123"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4.63</w:t>
            </w:r>
          </w:p>
        </w:tc>
        <w:tc>
          <w:tcPr>
            <w:tcW w:w="593" w:type="pct"/>
            <w:tcBorders>
              <w:top w:val="nil"/>
              <w:left w:val="nil"/>
              <w:bottom w:val="single" w:sz="8" w:space="0" w:color="auto"/>
              <w:right w:val="single" w:sz="8" w:space="0" w:color="auto"/>
            </w:tcBorders>
            <w:shd w:val="clear" w:color="auto" w:fill="auto"/>
            <w:vAlign w:val="center"/>
            <w:hideMark/>
          </w:tcPr>
          <w:p w14:paraId="2532A819"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31#</w:t>
            </w:r>
          </w:p>
        </w:tc>
        <w:tc>
          <w:tcPr>
            <w:tcW w:w="692" w:type="pct"/>
            <w:tcBorders>
              <w:top w:val="nil"/>
              <w:left w:val="nil"/>
              <w:bottom w:val="single" w:sz="8" w:space="0" w:color="auto"/>
              <w:right w:val="single" w:sz="8" w:space="0" w:color="auto"/>
            </w:tcBorders>
            <w:shd w:val="clear" w:color="auto" w:fill="auto"/>
            <w:vAlign w:val="center"/>
            <w:hideMark/>
          </w:tcPr>
          <w:p w14:paraId="23678EA4"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56D7EEF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34F734D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0071352B"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1BE05D5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14#</w:t>
            </w:r>
          </w:p>
        </w:tc>
        <w:tc>
          <w:tcPr>
            <w:tcW w:w="616" w:type="pct"/>
            <w:tcBorders>
              <w:top w:val="nil"/>
              <w:left w:val="nil"/>
              <w:bottom w:val="single" w:sz="8" w:space="0" w:color="auto"/>
              <w:right w:val="single" w:sz="8" w:space="0" w:color="auto"/>
            </w:tcBorders>
            <w:shd w:val="clear" w:color="auto" w:fill="auto"/>
            <w:vAlign w:val="center"/>
            <w:hideMark/>
          </w:tcPr>
          <w:p w14:paraId="09697A5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43.3</w:t>
            </w:r>
          </w:p>
        </w:tc>
        <w:tc>
          <w:tcPr>
            <w:tcW w:w="605" w:type="pct"/>
            <w:tcBorders>
              <w:top w:val="nil"/>
              <w:left w:val="nil"/>
              <w:bottom w:val="single" w:sz="8" w:space="0" w:color="auto"/>
              <w:right w:val="single" w:sz="8" w:space="0" w:color="auto"/>
            </w:tcBorders>
            <w:shd w:val="clear" w:color="auto" w:fill="auto"/>
            <w:vAlign w:val="center"/>
            <w:hideMark/>
          </w:tcPr>
          <w:p w14:paraId="2E86599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7328638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6F7F122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32#</w:t>
            </w:r>
          </w:p>
        </w:tc>
        <w:tc>
          <w:tcPr>
            <w:tcW w:w="692" w:type="pct"/>
            <w:tcBorders>
              <w:top w:val="nil"/>
              <w:left w:val="nil"/>
              <w:bottom w:val="single" w:sz="8" w:space="0" w:color="auto"/>
              <w:right w:val="single" w:sz="8" w:space="0" w:color="auto"/>
            </w:tcBorders>
            <w:shd w:val="clear" w:color="auto" w:fill="auto"/>
            <w:vAlign w:val="center"/>
            <w:hideMark/>
          </w:tcPr>
          <w:p w14:paraId="78E923F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44.2</w:t>
            </w:r>
          </w:p>
        </w:tc>
        <w:tc>
          <w:tcPr>
            <w:tcW w:w="593" w:type="pct"/>
            <w:tcBorders>
              <w:top w:val="nil"/>
              <w:left w:val="nil"/>
              <w:bottom w:val="single" w:sz="8" w:space="0" w:color="auto"/>
              <w:right w:val="single" w:sz="8" w:space="0" w:color="auto"/>
            </w:tcBorders>
            <w:shd w:val="clear" w:color="auto" w:fill="auto"/>
            <w:vAlign w:val="center"/>
            <w:hideMark/>
          </w:tcPr>
          <w:p w14:paraId="23165A1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2B8AA1E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3.16</w:t>
            </w:r>
          </w:p>
        </w:tc>
      </w:tr>
      <w:tr w:rsidR="00180BC2" w:rsidRPr="00116A24" w14:paraId="1DA704F2"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121172D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15#</w:t>
            </w:r>
          </w:p>
        </w:tc>
        <w:tc>
          <w:tcPr>
            <w:tcW w:w="616" w:type="pct"/>
            <w:tcBorders>
              <w:top w:val="nil"/>
              <w:left w:val="nil"/>
              <w:bottom w:val="single" w:sz="8" w:space="0" w:color="auto"/>
              <w:right w:val="single" w:sz="8" w:space="0" w:color="auto"/>
            </w:tcBorders>
            <w:shd w:val="clear" w:color="auto" w:fill="auto"/>
            <w:vAlign w:val="center"/>
            <w:hideMark/>
          </w:tcPr>
          <w:p w14:paraId="426F48C5"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05" w:type="pct"/>
            <w:tcBorders>
              <w:top w:val="nil"/>
              <w:left w:val="nil"/>
              <w:bottom w:val="single" w:sz="8" w:space="0" w:color="auto"/>
              <w:right w:val="single" w:sz="8" w:space="0" w:color="auto"/>
            </w:tcBorders>
            <w:shd w:val="clear" w:color="auto" w:fill="auto"/>
            <w:vAlign w:val="center"/>
            <w:hideMark/>
          </w:tcPr>
          <w:p w14:paraId="4247886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4D4940B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0E45AAFE"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33#</w:t>
            </w:r>
          </w:p>
        </w:tc>
        <w:tc>
          <w:tcPr>
            <w:tcW w:w="692" w:type="pct"/>
            <w:tcBorders>
              <w:top w:val="nil"/>
              <w:left w:val="nil"/>
              <w:bottom w:val="single" w:sz="8" w:space="0" w:color="auto"/>
              <w:right w:val="single" w:sz="8" w:space="0" w:color="auto"/>
            </w:tcBorders>
            <w:shd w:val="clear" w:color="auto" w:fill="auto"/>
            <w:vAlign w:val="center"/>
            <w:hideMark/>
          </w:tcPr>
          <w:p w14:paraId="21BD905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0056363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0669A336"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5E2E0933"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2B756DDA"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16#</w:t>
            </w:r>
          </w:p>
        </w:tc>
        <w:tc>
          <w:tcPr>
            <w:tcW w:w="616" w:type="pct"/>
            <w:tcBorders>
              <w:top w:val="nil"/>
              <w:left w:val="nil"/>
              <w:bottom w:val="single" w:sz="8" w:space="0" w:color="auto"/>
              <w:right w:val="single" w:sz="8" w:space="0" w:color="auto"/>
            </w:tcBorders>
            <w:shd w:val="clear" w:color="auto" w:fill="auto"/>
            <w:vAlign w:val="center"/>
            <w:hideMark/>
          </w:tcPr>
          <w:p w14:paraId="5303FEC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3.20</w:t>
            </w:r>
          </w:p>
        </w:tc>
        <w:tc>
          <w:tcPr>
            <w:tcW w:w="605" w:type="pct"/>
            <w:tcBorders>
              <w:top w:val="nil"/>
              <w:left w:val="nil"/>
              <w:bottom w:val="single" w:sz="8" w:space="0" w:color="auto"/>
              <w:right w:val="single" w:sz="8" w:space="0" w:color="auto"/>
            </w:tcBorders>
            <w:shd w:val="clear" w:color="auto" w:fill="auto"/>
            <w:vAlign w:val="center"/>
            <w:hideMark/>
          </w:tcPr>
          <w:p w14:paraId="5B50F6E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4C1E15A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5.87</w:t>
            </w:r>
          </w:p>
        </w:tc>
        <w:tc>
          <w:tcPr>
            <w:tcW w:w="593" w:type="pct"/>
            <w:tcBorders>
              <w:top w:val="nil"/>
              <w:left w:val="nil"/>
              <w:bottom w:val="single" w:sz="8" w:space="0" w:color="auto"/>
              <w:right w:val="single" w:sz="8" w:space="0" w:color="auto"/>
            </w:tcBorders>
            <w:shd w:val="clear" w:color="auto" w:fill="auto"/>
            <w:vAlign w:val="center"/>
            <w:hideMark/>
          </w:tcPr>
          <w:p w14:paraId="39307D0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34#</w:t>
            </w:r>
          </w:p>
        </w:tc>
        <w:tc>
          <w:tcPr>
            <w:tcW w:w="692" w:type="pct"/>
            <w:tcBorders>
              <w:top w:val="nil"/>
              <w:left w:val="nil"/>
              <w:bottom w:val="single" w:sz="8" w:space="0" w:color="auto"/>
              <w:right w:val="single" w:sz="8" w:space="0" w:color="auto"/>
            </w:tcBorders>
            <w:shd w:val="clear" w:color="auto" w:fill="auto"/>
            <w:vAlign w:val="center"/>
            <w:hideMark/>
          </w:tcPr>
          <w:p w14:paraId="143A6B7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20386A0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2F475253"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4343E33E"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2723DB9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17#</w:t>
            </w:r>
          </w:p>
        </w:tc>
        <w:tc>
          <w:tcPr>
            <w:tcW w:w="616" w:type="pct"/>
            <w:tcBorders>
              <w:top w:val="nil"/>
              <w:left w:val="nil"/>
              <w:bottom w:val="single" w:sz="8" w:space="0" w:color="auto"/>
              <w:right w:val="single" w:sz="8" w:space="0" w:color="auto"/>
            </w:tcBorders>
            <w:shd w:val="clear" w:color="auto" w:fill="auto"/>
            <w:vAlign w:val="center"/>
            <w:hideMark/>
          </w:tcPr>
          <w:p w14:paraId="25AB350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41.9</w:t>
            </w:r>
          </w:p>
        </w:tc>
        <w:tc>
          <w:tcPr>
            <w:tcW w:w="605" w:type="pct"/>
            <w:tcBorders>
              <w:top w:val="nil"/>
              <w:left w:val="nil"/>
              <w:bottom w:val="single" w:sz="8" w:space="0" w:color="auto"/>
              <w:right w:val="single" w:sz="8" w:space="0" w:color="auto"/>
            </w:tcBorders>
            <w:shd w:val="clear" w:color="auto" w:fill="auto"/>
            <w:vAlign w:val="center"/>
            <w:hideMark/>
          </w:tcPr>
          <w:p w14:paraId="341EF25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6.75</w:t>
            </w:r>
          </w:p>
        </w:tc>
        <w:tc>
          <w:tcPr>
            <w:tcW w:w="616" w:type="pct"/>
            <w:tcBorders>
              <w:top w:val="nil"/>
              <w:left w:val="nil"/>
              <w:bottom w:val="single" w:sz="8" w:space="0" w:color="auto"/>
              <w:right w:val="single" w:sz="8" w:space="0" w:color="auto"/>
            </w:tcBorders>
            <w:shd w:val="clear" w:color="auto" w:fill="auto"/>
            <w:vAlign w:val="center"/>
            <w:hideMark/>
          </w:tcPr>
          <w:p w14:paraId="2244ADE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3.25</w:t>
            </w:r>
          </w:p>
        </w:tc>
        <w:tc>
          <w:tcPr>
            <w:tcW w:w="593" w:type="pct"/>
            <w:tcBorders>
              <w:top w:val="nil"/>
              <w:left w:val="nil"/>
              <w:bottom w:val="single" w:sz="8" w:space="0" w:color="auto"/>
              <w:right w:val="single" w:sz="8" w:space="0" w:color="auto"/>
            </w:tcBorders>
            <w:shd w:val="clear" w:color="auto" w:fill="auto"/>
            <w:vAlign w:val="center"/>
            <w:hideMark/>
          </w:tcPr>
          <w:p w14:paraId="3FD15CA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35#</w:t>
            </w:r>
          </w:p>
        </w:tc>
        <w:tc>
          <w:tcPr>
            <w:tcW w:w="692" w:type="pct"/>
            <w:tcBorders>
              <w:top w:val="nil"/>
              <w:left w:val="nil"/>
              <w:bottom w:val="single" w:sz="8" w:space="0" w:color="auto"/>
              <w:right w:val="single" w:sz="8" w:space="0" w:color="auto"/>
            </w:tcBorders>
            <w:shd w:val="clear" w:color="auto" w:fill="auto"/>
            <w:vAlign w:val="center"/>
            <w:hideMark/>
          </w:tcPr>
          <w:p w14:paraId="5DDB45C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4011EE5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0AF06448"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r w:rsidR="00180BC2" w:rsidRPr="00116A24" w14:paraId="02EE94A7" w14:textId="77777777" w:rsidTr="00E43ED5">
        <w:trPr>
          <w:jc w:val="center"/>
        </w:trPr>
        <w:tc>
          <w:tcPr>
            <w:tcW w:w="593" w:type="pct"/>
            <w:tcBorders>
              <w:top w:val="nil"/>
              <w:left w:val="single" w:sz="8" w:space="0" w:color="auto"/>
              <w:bottom w:val="single" w:sz="8" w:space="0" w:color="auto"/>
              <w:right w:val="single" w:sz="8" w:space="0" w:color="auto"/>
            </w:tcBorders>
            <w:shd w:val="clear" w:color="auto" w:fill="auto"/>
            <w:vAlign w:val="center"/>
            <w:hideMark/>
          </w:tcPr>
          <w:p w14:paraId="1E718722"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18#</w:t>
            </w:r>
          </w:p>
        </w:tc>
        <w:tc>
          <w:tcPr>
            <w:tcW w:w="616" w:type="pct"/>
            <w:tcBorders>
              <w:top w:val="nil"/>
              <w:left w:val="nil"/>
              <w:bottom w:val="single" w:sz="8" w:space="0" w:color="auto"/>
              <w:right w:val="single" w:sz="8" w:space="0" w:color="auto"/>
            </w:tcBorders>
            <w:shd w:val="clear" w:color="auto" w:fill="auto"/>
            <w:vAlign w:val="center"/>
            <w:hideMark/>
          </w:tcPr>
          <w:p w14:paraId="0459F361"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05" w:type="pct"/>
            <w:tcBorders>
              <w:top w:val="nil"/>
              <w:left w:val="nil"/>
              <w:bottom w:val="single" w:sz="8" w:space="0" w:color="auto"/>
              <w:right w:val="single" w:sz="8" w:space="0" w:color="auto"/>
            </w:tcBorders>
            <w:shd w:val="clear" w:color="auto" w:fill="auto"/>
            <w:vAlign w:val="center"/>
            <w:hideMark/>
          </w:tcPr>
          <w:p w14:paraId="09DA836B"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16" w:type="pct"/>
            <w:tcBorders>
              <w:top w:val="nil"/>
              <w:left w:val="nil"/>
              <w:bottom w:val="single" w:sz="8" w:space="0" w:color="auto"/>
              <w:right w:val="single" w:sz="8" w:space="0" w:color="auto"/>
            </w:tcBorders>
            <w:shd w:val="clear" w:color="auto" w:fill="auto"/>
            <w:vAlign w:val="center"/>
            <w:hideMark/>
          </w:tcPr>
          <w:p w14:paraId="1EF055A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593" w:type="pct"/>
            <w:tcBorders>
              <w:top w:val="nil"/>
              <w:left w:val="nil"/>
              <w:bottom w:val="single" w:sz="8" w:space="0" w:color="auto"/>
              <w:right w:val="single" w:sz="8" w:space="0" w:color="auto"/>
            </w:tcBorders>
            <w:shd w:val="clear" w:color="auto" w:fill="auto"/>
            <w:vAlign w:val="center"/>
            <w:hideMark/>
          </w:tcPr>
          <w:p w14:paraId="05136B00"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36#</w:t>
            </w:r>
          </w:p>
        </w:tc>
        <w:tc>
          <w:tcPr>
            <w:tcW w:w="692" w:type="pct"/>
            <w:tcBorders>
              <w:top w:val="nil"/>
              <w:left w:val="nil"/>
              <w:bottom w:val="single" w:sz="8" w:space="0" w:color="auto"/>
              <w:right w:val="single" w:sz="8" w:space="0" w:color="auto"/>
            </w:tcBorders>
            <w:shd w:val="clear" w:color="auto" w:fill="auto"/>
            <w:vAlign w:val="center"/>
            <w:hideMark/>
          </w:tcPr>
          <w:p w14:paraId="54FC855D"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8.71</w:t>
            </w:r>
          </w:p>
        </w:tc>
        <w:tc>
          <w:tcPr>
            <w:tcW w:w="593" w:type="pct"/>
            <w:tcBorders>
              <w:top w:val="nil"/>
              <w:left w:val="nil"/>
              <w:bottom w:val="single" w:sz="8" w:space="0" w:color="auto"/>
              <w:right w:val="single" w:sz="8" w:space="0" w:color="auto"/>
            </w:tcBorders>
            <w:shd w:val="clear" w:color="auto" w:fill="auto"/>
            <w:vAlign w:val="center"/>
            <w:hideMark/>
          </w:tcPr>
          <w:p w14:paraId="76951A9F"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c>
          <w:tcPr>
            <w:tcW w:w="692" w:type="pct"/>
            <w:tcBorders>
              <w:top w:val="nil"/>
              <w:left w:val="nil"/>
              <w:bottom w:val="single" w:sz="8" w:space="0" w:color="auto"/>
              <w:right w:val="single" w:sz="8" w:space="0" w:color="auto"/>
            </w:tcBorders>
            <w:shd w:val="clear" w:color="auto" w:fill="auto"/>
            <w:vAlign w:val="center"/>
            <w:hideMark/>
          </w:tcPr>
          <w:p w14:paraId="512B3DCC" w14:textId="77777777" w:rsidR="00180BC2" w:rsidRPr="00DD0B5F" w:rsidRDefault="00180BC2" w:rsidP="00180BC2">
            <w:pPr>
              <w:widowControl/>
              <w:jc w:val="center"/>
              <w:rPr>
                <w:rFonts w:eastAsiaTheme="minorEastAsia"/>
                <w:color w:val="000000"/>
                <w:kern w:val="0"/>
                <w:sz w:val="22"/>
                <w:szCs w:val="21"/>
              </w:rPr>
            </w:pPr>
            <w:r w:rsidRPr="00DD0B5F">
              <w:rPr>
                <w:rFonts w:eastAsiaTheme="minorEastAsia"/>
                <w:color w:val="000000"/>
                <w:kern w:val="0"/>
                <w:sz w:val="22"/>
                <w:szCs w:val="21"/>
              </w:rPr>
              <w:t>——</w:t>
            </w:r>
          </w:p>
        </w:tc>
      </w:tr>
    </w:tbl>
    <w:p w14:paraId="15C98078" w14:textId="77777777" w:rsidR="00180BC2" w:rsidRPr="00116A24" w:rsidRDefault="00180BC2"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由表1可以看出，36批次食品用洗涤剂中27批次检出甲基异噻唑啉酮（MIT），</w:t>
      </w:r>
      <w:r w:rsidR="00275BCD" w:rsidRPr="00116A24">
        <w:rPr>
          <w:rFonts w:asciiTheme="minorEastAsia" w:eastAsiaTheme="minorEastAsia" w:hAnsiTheme="minorEastAsia" w:hint="eastAsia"/>
          <w:sz w:val="24"/>
          <w:szCs w:val="28"/>
        </w:rPr>
        <w:t>检出率为75%；</w:t>
      </w:r>
      <w:r w:rsidRPr="00116A24">
        <w:rPr>
          <w:rFonts w:asciiTheme="minorEastAsia" w:eastAsiaTheme="minorEastAsia" w:hAnsiTheme="minorEastAsia" w:hint="eastAsia"/>
          <w:sz w:val="24"/>
          <w:szCs w:val="28"/>
        </w:rPr>
        <w:t>1批次检出苯甲酸钠（SB），</w:t>
      </w:r>
      <w:r w:rsidR="00275BCD" w:rsidRPr="00116A24">
        <w:rPr>
          <w:rFonts w:asciiTheme="minorEastAsia" w:eastAsiaTheme="minorEastAsia" w:hAnsiTheme="minorEastAsia" w:hint="eastAsia"/>
          <w:sz w:val="24"/>
          <w:szCs w:val="28"/>
        </w:rPr>
        <w:t>检出率为2.8%；12批次检出甲基氯异噻唑啉酮（CMIT），</w:t>
      </w:r>
      <w:r w:rsidR="00275BCD" w:rsidRPr="00116A24">
        <w:rPr>
          <w:rFonts w:asciiTheme="minorEastAsia" w:eastAsiaTheme="minorEastAsia" w:hAnsiTheme="minorEastAsia" w:hint="eastAsia"/>
          <w:sz w:val="24"/>
          <w:szCs w:val="28"/>
        </w:rPr>
        <w:lastRenderedPageBreak/>
        <w:t>检出率为33.3%。食品用洗涤剂中添加这3种防腐剂是比较普遍的。</w:t>
      </w:r>
    </w:p>
    <w:p w14:paraId="6E523F1B" w14:textId="77777777" w:rsidR="00180BC2" w:rsidRPr="00DE7DEF" w:rsidRDefault="00180BC2" w:rsidP="00180BC2">
      <w:pPr>
        <w:tabs>
          <w:tab w:val="left" w:pos="1896"/>
        </w:tabs>
        <w:spacing w:line="360" w:lineRule="auto"/>
        <w:rPr>
          <w:b/>
          <w:bCs/>
          <w:sz w:val="28"/>
          <w:szCs w:val="28"/>
        </w:rPr>
      </w:pPr>
      <w:r w:rsidRPr="00DE7DEF">
        <w:rPr>
          <w:b/>
          <w:bCs/>
          <w:sz w:val="28"/>
          <w:szCs w:val="28"/>
        </w:rPr>
        <w:t>3.</w:t>
      </w:r>
      <w:r>
        <w:rPr>
          <w:rFonts w:hint="eastAsia"/>
          <w:b/>
          <w:bCs/>
          <w:sz w:val="28"/>
          <w:szCs w:val="28"/>
        </w:rPr>
        <w:t>6</w:t>
      </w:r>
      <w:r w:rsidR="00CC0A1A">
        <w:rPr>
          <w:rFonts w:hint="eastAsia"/>
          <w:b/>
          <w:bCs/>
          <w:sz w:val="28"/>
          <w:szCs w:val="28"/>
        </w:rPr>
        <w:t xml:space="preserve"> </w:t>
      </w:r>
      <w:r w:rsidR="00CC0A1A">
        <w:rPr>
          <w:rFonts w:hint="eastAsia"/>
          <w:b/>
          <w:bCs/>
          <w:sz w:val="28"/>
          <w:szCs w:val="28"/>
        </w:rPr>
        <w:t>实验室间</w:t>
      </w:r>
      <w:r>
        <w:rPr>
          <w:rFonts w:hint="eastAsia"/>
          <w:b/>
          <w:bCs/>
          <w:sz w:val="28"/>
          <w:szCs w:val="28"/>
        </w:rPr>
        <w:t>验证</w:t>
      </w:r>
    </w:p>
    <w:p w14:paraId="644BD289" w14:textId="77777777" w:rsidR="00180BC2" w:rsidRPr="00116A24" w:rsidRDefault="00180BC2"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在上述食品用洗涤剂选出6批次进行实验室间验证，5家实验室对3种防腐剂的检测结果见表</w:t>
      </w:r>
      <w:r w:rsidR="00116A24">
        <w:rPr>
          <w:rFonts w:asciiTheme="minorEastAsia" w:eastAsiaTheme="minorEastAsia" w:hAnsiTheme="minorEastAsia" w:hint="eastAsia"/>
          <w:sz w:val="24"/>
          <w:szCs w:val="28"/>
        </w:rPr>
        <w:t>3</w:t>
      </w:r>
      <w:r w:rsidRPr="00116A24">
        <w:rPr>
          <w:rFonts w:asciiTheme="minorEastAsia" w:eastAsiaTheme="minorEastAsia" w:hAnsiTheme="minorEastAsia" w:hint="eastAsia"/>
          <w:sz w:val="24"/>
          <w:szCs w:val="28"/>
        </w:rPr>
        <w:t>。</w:t>
      </w:r>
    </w:p>
    <w:p w14:paraId="4BD8C8FB" w14:textId="77777777" w:rsidR="00275BCD" w:rsidRPr="00116A24" w:rsidRDefault="002E191D" w:rsidP="00116A24">
      <w:pPr>
        <w:snapToGrid w:val="0"/>
        <w:spacing w:line="360" w:lineRule="auto"/>
        <w:ind w:firstLineChars="200" w:firstLine="440"/>
        <w:jc w:val="center"/>
        <w:rPr>
          <w:rFonts w:ascii="黑体" w:eastAsia="黑体" w:hAnsi="黑体"/>
          <w:sz w:val="24"/>
          <w:szCs w:val="28"/>
        </w:rPr>
      </w:pPr>
      <w:r w:rsidRPr="00116A24">
        <w:rPr>
          <w:rFonts w:ascii="黑体" w:eastAsia="黑体" w:hAnsi="黑体" w:hint="eastAsia"/>
          <w:sz w:val="22"/>
          <w:szCs w:val="28"/>
        </w:rPr>
        <w:t>表</w:t>
      </w:r>
      <w:r w:rsidR="00116A24" w:rsidRPr="00116A24">
        <w:rPr>
          <w:rFonts w:ascii="黑体" w:eastAsia="黑体" w:hAnsi="黑体" w:hint="eastAsia"/>
          <w:sz w:val="22"/>
          <w:szCs w:val="28"/>
        </w:rPr>
        <w:t>3</w:t>
      </w:r>
      <w:r w:rsidRPr="00116A24">
        <w:rPr>
          <w:rFonts w:ascii="黑体" w:eastAsia="黑体" w:hAnsi="黑体" w:hint="eastAsia"/>
          <w:sz w:val="22"/>
          <w:szCs w:val="28"/>
        </w:rPr>
        <w:t xml:space="preserve"> 食品用洗涤剂中3种防腐剂的实验室间验证结果（mg/kg）</w:t>
      </w:r>
    </w:p>
    <w:tbl>
      <w:tblPr>
        <w:tblW w:w="5000" w:type="pct"/>
        <w:tblLayout w:type="fixed"/>
        <w:tblLook w:val="04A0" w:firstRow="1" w:lastRow="0" w:firstColumn="1" w:lastColumn="0" w:noHBand="0" w:noVBand="1"/>
      </w:tblPr>
      <w:tblGrid>
        <w:gridCol w:w="952"/>
        <w:gridCol w:w="955"/>
        <w:gridCol w:w="1227"/>
        <w:gridCol w:w="1229"/>
        <w:gridCol w:w="1227"/>
        <w:gridCol w:w="1229"/>
        <w:gridCol w:w="1229"/>
        <w:gridCol w:w="1522"/>
      </w:tblGrid>
      <w:tr w:rsidR="002E191D" w:rsidRPr="00E43ED5" w14:paraId="1613DA36" w14:textId="77777777" w:rsidTr="00E43ED5">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31EA6"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样品</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4ADB9B7F"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防腐剂</w:t>
            </w:r>
          </w:p>
        </w:tc>
        <w:tc>
          <w:tcPr>
            <w:tcW w:w="641" w:type="pct"/>
            <w:tcBorders>
              <w:top w:val="single" w:sz="4" w:space="0" w:color="auto"/>
              <w:left w:val="nil"/>
              <w:bottom w:val="single" w:sz="4" w:space="0" w:color="auto"/>
              <w:right w:val="single" w:sz="4" w:space="0" w:color="auto"/>
            </w:tcBorders>
            <w:shd w:val="clear" w:color="auto" w:fill="auto"/>
            <w:vAlign w:val="center"/>
            <w:hideMark/>
          </w:tcPr>
          <w:p w14:paraId="65E94521"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实验室</w:t>
            </w:r>
            <w:r w:rsidRPr="002E191D">
              <w:rPr>
                <w:rFonts w:eastAsiaTheme="minorEastAsia"/>
                <w:color w:val="000000"/>
                <w:kern w:val="0"/>
                <w:sz w:val="22"/>
                <w:szCs w:val="21"/>
              </w:rPr>
              <w:t>1</w:t>
            </w:r>
          </w:p>
        </w:tc>
        <w:tc>
          <w:tcPr>
            <w:tcW w:w="642" w:type="pct"/>
            <w:tcBorders>
              <w:top w:val="single" w:sz="4" w:space="0" w:color="auto"/>
              <w:left w:val="nil"/>
              <w:bottom w:val="single" w:sz="4" w:space="0" w:color="auto"/>
              <w:right w:val="single" w:sz="4" w:space="0" w:color="auto"/>
            </w:tcBorders>
            <w:shd w:val="clear" w:color="auto" w:fill="auto"/>
            <w:vAlign w:val="center"/>
            <w:hideMark/>
          </w:tcPr>
          <w:p w14:paraId="410DF5B4"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实验室</w:t>
            </w:r>
            <w:r w:rsidRPr="002E191D">
              <w:rPr>
                <w:rFonts w:eastAsiaTheme="minorEastAsia"/>
                <w:color w:val="000000"/>
                <w:kern w:val="0"/>
                <w:sz w:val="22"/>
                <w:szCs w:val="21"/>
              </w:rPr>
              <w:t>2</w:t>
            </w:r>
          </w:p>
        </w:tc>
        <w:tc>
          <w:tcPr>
            <w:tcW w:w="641" w:type="pct"/>
            <w:tcBorders>
              <w:top w:val="single" w:sz="4" w:space="0" w:color="auto"/>
              <w:left w:val="nil"/>
              <w:bottom w:val="single" w:sz="4" w:space="0" w:color="auto"/>
              <w:right w:val="single" w:sz="4" w:space="0" w:color="auto"/>
            </w:tcBorders>
            <w:shd w:val="clear" w:color="auto" w:fill="auto"/>
            <w:vAlign w:val="center"/>
            <w:hideMark/>
          </w:tcPr>
          <w:p w14:paraId="4F97D7C0"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实验室</w:t>
            </w:r>
            <w:r w:rsidRPr="002E191D">
              <w:rPr>
                <w:rFonts w:eastAsiaTheme="minorEastAsia"/>
                <w:color w:val="000000"/>
                <w:kern w:val="0"/>
                <w:sz w:val="22"/>
                <w:szCs w:val="21"/>
              </w:rPr>
              <w:t>3</w:t>
            </w:r>
          </w:p>
        </w:tc>
        <w:tc>
          <w:tcPr>
            <w:tcW w:w="642" w:type="pct"/>
            <w:tcBorders>
              <w:top w:val="single" w:sz="4" w:space="0" w:color="auto"/>
              <w:left w:val="nil"/>
              <w:bottom w:val="single" w:sz="4" w:space="0" w:color="auto"/>
              <w:right w:val="single" w:sz="4" w:space="0" w:color="auto"/>
            </w:tcBorders>
            <w:shd w:val="clear" w:color="auto" w:fill="auto"/>
            <w:vAlign w:val="center"/>
            <w:hideMark/>
          </w:tcPr>
          <w:p w14:paraId="0F3CC708"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实验室</w:t>
            </w:r>
            <w:r w:rsidRPr="002E191D">
              <w:rPr>
                <w:rFonts w:eastAsiaTheme="minorEastAsia"/>
                <w:color w:val="000000"/>
                <w:kern w:val="0"/>
                <w:sz w:val="22"/>
                <w:szCs w:val="21"/>
              </w:rPr>
              <w:t>4</w:t>
            </w:r>
          </w:p>
        </w:tc>
        <w:tc>
          <w:tcPr>
            <w:tcW w:w="642" w:type="pct"/>
            <w:tcBorders>
              <w:top w:val="single" w:sz="4" w:space="0" w:color="auto"/>
              <w:left w:val="nil"/>
              <w:bottom w:val="single" w:sz="4" w:space="0" w:color="auto"/>
              <w:right w:val="single" w:sz="4" w:space="0" w:color="auto"/>
            </w:tcBorders>
            <w:shd w:val="clear" w:color="auto" w:fill="auto"/>
            <w:vAlign w:val="center"/>
            <w:hideMark/>
          </w:tcPr>
          <w:p w14:paraId="29AC2F10"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实验室</w:t>
            </w:r>
            <w:r w:rsidRPr="002E191D">
              <w:rPr>
                <w:rFonts w:eastAsiaTheme="minorEastAsia"/>
                <w:color w:val="000000"/>
                <w:kern w:val="0"/>
                <w:sz w:val="22"/>
                <w:szCs w:val="21"/>
              </w:rPr>
              <w:t>5</w:t>
            </w:r>
          </w:p>
        </w:tc>
        <w:tc>
          <w:tcPr>
            <w:tcW w:w="795" w:type="pct"/>
            <w:tcBorders>
              <w:top w:val="single" w:sz="4" w:space="0" w:color="auto"/>
              <w:left w:val="nil"/>
              <w:bottom w:val="single" w:sz="4" w:space="0" w:color="auto"/>
              <w:right w:val="single" w:sz="4" w:space="0" w:color="auto"/>
            </w:tcBorders>
            <w:shd w:val="clear" w:color="auto" w:fill="auto"/>
            <w:noWrap/>
            <w:vAlign w:val="center"/>
            <w:hideMark/>
          </w:tcPr>
          <w:p w14:paraId="4D963248"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hAnsiTheme="minorEastAsia"/>
                <w:color w:val="000000"/>
                <w:kern w:val="0"/>
                <w:sz w:val="22"/>
                <w:szCs w:val="21"/>
              </w:rPr>
              <w:t>相对标准偏差</w:t>
            </w:r>
            <w:r w:rsidRPr="002E191D">
              <w:rPr>
                <w:rFonts w:eastAsiaTheme="minorEastAsia"/>
                <w:color w:val="000000"/>
                <w:kern w:val="0"/>
                <w:sz w:val="22"/>
                <w:szCs w:val="21"/>
              </w:rPr>
              <w:t>RSD</w:t>
            </w:r>
            <w:r w:rsidRPr="002E191D">
              <w:rPr>
                <w:rFonts w:eastAsiaTheme="minorEastAsia" w:hAnsiTheme="minorEastAsia"/>
                <w:color w:val="000000"/>
                <w:kern w:val="0"/>
                <w:sz w:val="22"/>
                <w:szCs w:val="21"/>
              </w:rPr>
              <w:t>，</w:t>
            </w:r>
            <w:r w:rsidRPr="002E191D">
              <w:rPr>
                <w:rFonts w:eastAsiaTheme="minorEastAsia"/>
                <w:color w:val="000000"/>
                <w:kern w:val="0"/>
                <w:sz w:val="22"/>
                <w:szCs w:val="21"/>
              </w:rPr>
              <w:t>%</w:t>
            </w:r>
          </w:p>
        </w:tc>
      </w:tr>
      <w:tr w:rsidR="002E191D" w:rsidRPr="00E43ED5" w14:paraId="308DEAE3" w14:textId="77777777" w:rsidTr="00E43ED5">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12A70C3B"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3#</w:t>
            </w:r>
          </w:p>
        </w:tc>
        <w:tc>
          <w:tcPr>
            <w:tcW w:w="499" w:type="pct"/>
            <w:tcBorders>
              <w:top w:val="nil"/>
              <w:left w:val="nil"/>
              <w:bottom w:val="single" w:sz="4" w:space="0" w:color="auto"/>
              <w:right w:val="single" w:sz="4" w:space="0" w:color="auto"/>
            </w:tcBorders>
            <w:shd w:val="clear" w:color="auto" w:fill="auto"/>
            <w:vAlign w:val="center"/>
            <w:hideMark/>
          </w:tcPr>
          <w:p w14:paraId="2D8CF945"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MIT</w:t>
            </w:r>
          </w:p>
        </w:tc>
        <w:tc>
          <w:tcPr>
            <w:tcW w:w="641" w:type="pct"/>
            <w:tcBorders>
              <w:top w:val="nil"/>
              <w:left w:val="nil"/>
              <w:bottom w:val="single" w:sz="4" w:space="0" w:color="auto"/>
              <w:right w:val="single" w:sz="4" w:space="0" w:color="auto"/>
            </w:tcBorders>
            <w:shd w:val="clear" w:color="auto" w:fill="auto"/>
            <w:vAlign w:val="center"/>
            <w:hideMark/>
          </w:tcPr>
          <w:p w14:paraId="14438AA2"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52.2 </w:t>
            </w:r>
          </w:p>
        </w:tc>
        <w:tc>
          <w:tcPr>
            <w:tcW w:w="642" w:type="pct"/>
            <w:tcBorders>
              <w:top w:val="nil"/>
              <w:left w:val="nil"/>
              <w:bottom w:val="single" w:sz="4" w:space="0" w:color="auto"/>
              <w:right w:val="single" w:sz="4" w:space="0" w:color="auto"/>
            </w:tcBorders>
            <w:shd w:val="clear" w:color="auto" w:fill="auto"/>
            <w:vAlign w:val="center"/>
            <w:hideMark/>
          </w:tcPr>
          <w:p w14:paraId="7E2A3606"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48.6 </w:t>
            </w:r>
          </w:p>
        </w:tc>
        <w:tc>
          <w:tcPr>
            <w:tcW w:w="641" w:type="pct"/>
            <w:tcBorders>
              <w:top w:val="nil"/>
              <w:left w:val="nil"/>
              <w:bottom w:val="single" w:sz="4" w:space="0" w:color="auto"/>
              <w:right w:val="single" w:sz="4" w:space="0" w:color="auto"/>
            </w:tcBorders>
            <w:shd w:val="clear" w:color="auto" w:fill="auto"/>
            <w:vAlign w:val="center"/>
            <w:hideMark/>
          </w:tcPr>
          <w:p w14:paraId="346787D4"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51.5 </w:t>
            </w:r>
          </w:p>
        </w:tc>
        <w:tc>
          <w:tcPr>
            <w:tcW w:w="642" w:type="pct"/>
            <w:tcBorders>
              <w:top w:val="nil"/>
              <w:left w:val="nil"/>
              <w:bottom w:val="single" w:sz="4" w:space="0" w:color="auto"/>
              <w:right w:val="single" w:sz="4" w:space="0" w:color="auto"/>
            </w:tcBorders>
            <w:shd w:val="clear" w:color="auto" w:fill="auto"/>
            <w:noWrap/>
            <w:vAlign w:val="center"/>
            <w:hideMark/>
          </w:tcPr>
          <w:p w14:paraId="02D2AF67"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50.9</w:t>
            </w:r>
          </w:p>
        </w:tc>
        <w:tc>
          <w:tcPr>
            <w:tcW w:w="642" w:type="pct"/>
            <w:tcBorders>
              <w:top w:val="nil"/>
              <w:left w:val="nil"/>
              <w:bottom w:val="single" w:sz="4" w:space="0" w:color="auto"/>
              <w:right w:val="single" w:sz="4" w:space="0" w:color="auto"/>
            </w:tcBorders>
            <w:shd w:val="clear" w:color="auto" w:fill="auto"/>
            <w:noWrap/>
            <w:vAlign w:val="center"/>
            <w:hideMark/>
          </w:tcPr>
          <w:p w14:paraId="679FBEA9"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55.1</w:t>
            </w:r>
          </w:p>
        </w:tc>
        <w:tc>
          <w:tcPr>
            <w:tcW w:w="795" w:type="pct"/>
            <w:tcBorders>
              <w:top w:val="nil"/>
              <w:left w:val="nil"/>
              <w:bottom w:val="single" w:sz="4" w:space="0" w:color="auto"/>
              <w:right w:val="single" w:sz="4" w:space="0" w:color="auto"/>
            </w:tcBorders>
            <w:shd w:val="clear" w:color="auto" w:fill="auto"/>
            <w:noWrap/>
            <w:vAlign w:val="center"/>
            <w:hideMark/>
          </w:tcPr>
          <w:p w14:paraId="766234BB"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4.5 </w:t>
            </w:r>
          </w:p>
        </w:tc>
      </w:tr>
      <w:tr w:rsidR="002E191D" w:rsidRPr="00E43ED5" w14:paraId="1A225252" w14:textId="77777777" w:rsidTr="00E43ED5">
        <w:tc>
          <w:tcPr>
            <w:tcW w:w="497" w:type="pct"/>
            <w:vMerge/>
            <w:tcBorders>
              <w:top w:val="nil"/>
              <w:left w:val="single" w:sz="4" w:space="0" w:color="auto"/>
              <w:bottom w:val="single" w:sz="4" w:space="0" w:color="auto"/>
              <w:right w:val="single" w:sz="4" w:space="0" w:color="auto"/>
            </w:tcBorders>
            <w:vAlign w:val="center"/>
            <w:hideMark/>
          </w:tcPr>
          <w:p w14:paraId="4F78D12B" w14:textId="77777777" w:rsidR="002E191D" w:rsidRPr="002E191D" w:rsidRDefault="002E191D" w:rsidP="002E191D">
            <w:pPr>
              <w:widowControl/>
              <w:jc w:val="left"/>
              <w:rPr>
                <w:rFonts w:eastAsiaTheme="minorEastAsia"/>
                <w:color w:val="000000"/>
                <w:kern w:val="0"/>
                <w:sz w:val="22"/>
                <w:szCs w:val="21"/>
              </w:rPr>
            </w:pPr>
          </w:p>
        </w:tc>
        <w:tc>
          <w:tcPr>
            <w:tcW w:w="499" w:type="pct"/>
            <w:tcBorders>
              <w:top w:val="nil"/>
              <w:left w:val="nil"/>
              <w:bottom w:val="single" w:sz="4" w:space="0" w:color="auto"/>
              <w:right w:val="single" w:sz="4" w:space="0" w:color="auto"/>
            </w:tcBorders>
            <w:shd w:val="clear" w:color="auto" w:fill="auto"/>
            <w:vAlign w:val="center"/>
            <w:hideMark/>
          </w:tcPr>
          <w:p w14:paraId="68FD3C21"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CMIT</w:t>
            </w:r>
          </w:p>
        </w:tc>
        <w:tc>
          <w:tcPr>
            <w:tcW w:w="641" w:type="pct"/>
            <w:tcBorders>
              <w:top w:val="nil"/>
              <w:left w:val="nil"/>
              <w:bottom w:val="single" w:sz="4" w:space="0" w:color="auto"/>
              <w:right w:val="single" w:sz="4" w:space="0" w:color="auto"/>
            </w:tcBorders>
            <w:shd w:val="clear" w:color="auto" w:fill="auto"/>
            <w:vAlign w:val="center"/>
            <w:hideMark/>
          </w:tcPr>
          <w:p w14:paraId="55F8B233"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3.96 </w:t>
            </w:r>
          </w:p>
        </w:tc>
        <w:tc>
          <w:tcPr>
            <w:tcW w:w="642" w:type="pct"/>
            <w:tcBorders>
              <w:top w:val="nil"/>
              <w:left w:val="nil"/>
              <w:bottom w:val="single" w:sz="4" w:space="0" w:color="auto"/>
              <w:right w:val="single" w:sz="4" w:space="0" w:color="auto"/>
            </w:tcBorders>
            <w:shd w:val="clear" w:color="auto" w:fill="auto"/>
            <w:vAlign w:val="center"/>
            <w:hideMark/>
          </w:tcPr>
          <w:p w14:paraId="40D9442A"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3.57 </w:t>
            </w:r>
          </w:p>
        </w:tc>
        <w:tc>
          <w:tcPr>
            <w:tcW w:w="641" w:type="pct"/>
            <w:tcBorders>
              <w:top w:val="nil"/>
              <w:left w:val="nil"/>
              <w:bottom w:val="single" w:sz="4" w:space="0" w:color="auto"/>
              <w:right w:val="single" w:sz="4" w:space="0" w:color="auto"/>
            </w:tcBorders>
            <w:shd w:val="clear" w:color="auto" w:fill="auto"/>
            <w:vAlign w:val="center"/>
            <w:hideMark/>
          </w:tcPr>
          <w:p w14:paraId="6A18DFD7"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3.91 </w:t>
            </w:r>
          </w:p>
        </w:tc>
        <w:tc>
          <w:tcPr>
            <w:tcW w:w="642" w:type="pct"/>
            <w:tcBorders>
              <w:top w:val="nil"/>
              <w:left w:val="nil"/>
              <w:bottom w:val="single" w:sz="4" w:space="0" w:color="auto"/>
              <w:right w:val="single" w:sz="4" w:space="0" w:color="auto"/>
            </w:tcBorders>
            <w:shd w:val="clear" w:color="auto" w:fill="auto"/>
            <w:noWrap/>
            <w:vAlign w:val="center"/>
            <w:hideMark/>
          </w:tcPr>
          <w:p w14:paraId="57501A1D"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3.85</w:t>
            </w:r>
          </w:p>
        </w:tc>
        <w:tc>
          <w:tcPr>
            <w:tcW w:w="642" w:type="pct"/>
            <w:tcBorders>
              <w:top w:val="nil"/>
              <w:left w:val="nil"/>
              <w:bottom w:val="single" w:sz="4" w:space="0" w:color="auto"/>
              <w:right w:val="single" w:sz="4" w:space="0" w:color="auto"/>
            </w:tcBorders>
            <w:shd w:val="clear" w:color="auto" w:fill="auto"/>
            <w:noWrap/>
            <w:vAlign w:val="center"/>
            <w:hideMark/>
          </w:tcPr>
          <w:p w14:paraId="3706B0AA"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4.23</w:t>
            </w:r>
          </w:p>
        </w:tc>
        <w:tc>
          <w:tcPr>
            <w:tcW w:w="795" w:type="pct"/>
            <w:tcBorders>
              <w:top w:val="nil"/>
              <w:left w:val="nil"/>
              <w:bottom w:val="single" w:sz="4" w:space="0" w:color="auto"/>
              <w:right w:val="single" w:sz="4" w:space="0" w:color="auto"/>
            </w:tcBorders>
            <w:shd w:val="clear" w:color="auto" w:fill="auto"/>
            <w:noWrap/>
            <w:vAlign w:val="center"/>
            <w:hideMark/>
          </w:tcPr>
          <w:p w14:paraId="16B43357"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6.1 </w:t>
            </w:r>
          </w:p>
        </w:tc>
      </w:tr>
      <w:tr w:rsidR="002E191D" w:rsidRPr="00E43ED5" w14:paraId="100ECD43" w14:textId="77777777" w:rsidTr="00E43ED5">
        <w:tc>
          <w:tcPr>
            <w:tcW w:w="497" w:type="pct"/>
            <w:tcBorders>
              <w:top w:val="nil"/>
              <w:left w:val="single" w:sz="4" w:space="0" w:color="auto"/>
              <w:bottom w:val="single" w:sz="4" w:space="0" w:color="auto"/>
              <w:right w:val="single" w:sz="4" w:space="0" w:color="auto"/>
            </w:tcBorders>
            <w:shd w:val="clear" w:color="auto" w:fill="auto"/>
            <w:vAlign w:val="center"/>
            <w:hideMark/>
          </w:tcPr>
          <w:p w14:paraId="31BCD2BB"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4#</w:t>
            </w:r>
          </w:p>
        </w:tc>
        <w:tc>
          <w:tcPr>
            <w:tcW w:w="499" w:type="pct"/>
            <w:tcBorders>
              <w:top w:val="nil"/>
              <w:left w:val="nil"/>
              <w:bottom w:val="single" w:sz="4" w:space="0" w:color="auto"/>
              <w:right w:val="single" w:sz="4" w:space="0" w:color="auto"/>
            </w:tcBorders>
            <w:shd w:val="clear" w:color="auto" w:fill="auto"/>
            <w:vAlign w:val="center"/>
            <w:hideMark/>
          </w:tcPr>
          <w:p w14:paraId="33ED1997"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MIT</w:t>
            </w:r>
          </w:p>
        </w:tc>
        <w:tc>
          <w:tcPr>
            <w:tcW w:w="641" w:type="pct"/>
            <w:tcBorders>
              <w:top w:val="nil"/>
              <w:left w:val="nil"/>
              <w:bottom w:val="single" w:sz="4" w:space="0" w:color="auto"/>
              <w:right w:val="single" w:sz="4" w:space="0" w:color="auto"/>
            </w:tcBorders>
            <w:shd w:val="clear" w:color="auto" w:fill="auto"/>
            <w:vAlign w:val="center"/>
            <w:hideMark/>
          </w:tcPr>
          <w:p w14:paraId="29FB7E8A"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73.8 </w:t>
            </w:r>
          </w:p>
        </w:tc>
        <w:tc>
          <w:tcPr>
            <w:tcW w:w="642" w:type="pct"/>
            <w:tcBorders>
              <w:top w:val="nil"/>
              <w:left w:val="nil"/>
              <w:bottom w:val="single" w:sz="4" w:space="0" w:color="auto"/>
              <w:right w:val="single" w:sz="4" w:space="0" w:color="auto"/>
            </w:tcBorders>
            <w:shd w:val="clear" w:color="auto" w:fill="auto"/>
            <w:vAlign w:val="center"/>
            <w:hideMark/>
          </w:tcPr>
          <w:p w14:paraId="30322EF4"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68.2 </w:t>
            </w:r>
          </w:p>
        </w:tc>
        <w:tc>
          <w:tcPr>
            <w:tcW w:w="641" w:type="pct"/>
            <w:tcBorders>
              <w:top w:val="nil"/>
              <w:left w:val="nil"/>
              <w:bottom w:val="single" w:sz="4" w:space="0" w:color="auto"/>
              <w:right w:val="single" w:sz="4" w:space="0" w:color="auto"/>
            </w:tcBorders>
            <w:shd w:val="clear" w:color="auto" w:fill="auto"/>
            <w:vAlign w:val="center"/>
            <w:hideMark/>
          </w:tcPr>
          <w:p w14:paraId="104010AC"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76.6 </w:t>
            </w:r>
          </w:p>
        </w:tc>
        <w:tc>
          <w:tcPr>
            <w:tcW w:w="642" w:type="pct"/>
            <w:tcBorders>
              <w:top w:val="nil"/>
              <w:left w:val="nil"/>
              <w:bottom w:val="single" w:sz="4" w:space="0" w:color="auto"/>
              <w:right w:val="single" w:sz="4" w:space="0" w:color="auto"/>
            </w:tcBorders>
            <w:shd w:val="clear" w:color="auto" w:fill="auto"/>
            <w:noWrap/>
            <w:vAlign w:val="center"/>
            <w:hideMark/>
          </w:tcPr>
          <w:p w14:paraId="04CC5BA6"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74.3</w:t>
            </w:r>
          </w:p>
        </w:tc>
        <w:tc>
          <w:tcPr>
            <w:tcW w:w="642" w:type="pct"/>
            <w:tcBorders>
              <w:top w:val="nil"/>
              <w:left w:val="nil"/>
              <w:bottom w:val="single" w:sz="4" w:space="0" w:color="auto"/>
              <w:right w:val="single" w:sz="4" w:space="0" w:color="auto"/>
            </w:tcBorders>
            <w:shd w:val="clear" w:color="auto" w:fill="auto"/>
            <w:noWrap/>
            <w:vAlign w:val="center"/>
            <w:hideMark/>
          </w:tcPr>
          <w:p w14:paraId="2EE49585"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75.5</w:t>
            </w:r>
          </w:p>
        </w:tc>
        <w:tc>
          <w:tcPr>
            <w:tcW w:w="795" w:type="pct"/>
            <w:tcBorders>
              <w:top w:val="nil"/>
              <w:left w:val="nil"/>
              <w:bottom w:val="single" w:sz="4" w:space="0" w:color="auto"/>
              <w:right w:val="single" w:sz="4" w:space="0" w:color="auto"/>
            </w:tcBorders>
            <w:shd w:val="clear" w:color="auto" w:fill="auto"/>
            <w:noWrap/>
            <w:vAlign w:val="center"/>
            <w:hideMark/>
          </w:tcPr>
          <w:p w14:paraId="1248DB39"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4.4 </w:t>
            </w:r>
          </w:p>
        </w:tc>
      </w:tr>
      <w:tr w:rsidR="002E191D" w:rsidRPr="00E43ED5" w14:paraId="1E4D391A" w14:textId="77777777" w:rsidTr="00E43ED5">
        <w:tc>
          <w:tcPr>
            <w:tcW w:w="497" w:type="pct"/>
            <w:tcBorders>
              <w:top w:val="nil"/>
              <w:left w:val="single" w:sz="4" w:space="0" w:color="auto"/>
              <w:bottom w:val="single" w:sz="4" w:space="0" w:color="auto"/>
              <w:right w:val="single" w:sz="4" w:space="0" w:color="auto"/>
            </w:tcBorders>
            <w:shd w:val="clear" w:color="auto" w:fill="auto"/>
            <w:vAlign w:val="center"/>
            <w:hideMark/>
          </w:tcPr>
          <w:p w14:paraId="22E5359E"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14#</w:t>
            </w:r>
          </w:p>
        </w:tc>
        <w:tc>
          <w:tcPr>
            <w:tcW w:w="499" w:type="pct"/>
            <w:tcBorders>
              <w:top w:val="nil"/>
              <w:left w:val="nil"/>
              <w:bottom w:val="single" w:sz="4" w:space="0" w:color="auto"/>
              <w:right w:val="single" w:sz="4" w:space="0" w:color="auto"/>
            </w:tcBorders>
            <w:shd w:val="clear" w:color="auto" w:fill="auto"/>
            <w:vAlign w:val="center"/>
            <w:hideMark/>
          </w:tcPr>
          <w:p w14:paraId="4E46C3AB"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MIT</w:t>
            </w:r>
          </w:p>
        </w:tc>
        <w:tc>
          <w:tcPr>
            <w:tcW w:w="641" w:type="pct"/>
            <w:tcBorders>
              <w:top w:val="nil"/>
              <w:left w:val="nil"/>
              <w:bottom w:val="single" w:sz="4" w:space="0" w:color="auto"/>
              <w:right w:val="single" w:sz="4" w:space="0" w:color="auto"/>
            </w:tcBorders>
            <w:shd w:val="clear" w:color="auto" w:fill="auto"/>
            <w:vAlign w:val="center"/>
            <w:hideMark/>
          </w:tcPr>
          <w:p w14:paraId="0BCD45B9"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43.3 </w:t>
            </w:r>
          </w:p>
        </w:tc>
        <w:tc>
          <w:tcPr>
            <w:tcW w:w="642" w:type="pct"/>
            <w:tcBorders>
              <w:top w:val="nil"/>
              <w:left w:val="nil"/>
              <w:bottom w:val="single" w:sz="4" w:space="0" w:color="auto"/>
              <w:right w:val="single" w:sz="4" w:space="0" w:color="auto"/>
            </w:tcBorders>
            <w:shd w:val="clear" w:color="auto" w:fill="auto"/>
            <w:vAlign w:val="center"/>
            <w:hideMark/>
          </w:tcPr>
          <w:p w14:paraId="5CF89270"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39.2 </w:t>
            </w:r>
          </w:p>
        </w:tc>
        <w:tc>
          <w:tcPr>
            <w:tcW w:w="641" w:type="pct"/>
            <w:tcBorders>
              <w:top w:val="nil"/>
              <w:left w:val="nil"/>
              <w:bottom w:val="single" w:sz="4" w:space="0" w:color="auto"/>
              <w:right w:val="single" w:sz="4" w:space="0" w:color="auto"/>
            </w:tcBorders>
            <w:shd w:val="clear" w:color="auto" w:fill="auto"/>
            <w:vAlign w:val="center"/>
            <w:hideMark/>
          </w:tcPr>
          <w:p w14:paraId="4716B06C"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39.8 </w:t>
            </w:r>
          </w:p>
        </w:tc>
        <w:tc>
          <w:tcPr>
            <w:tcW w:w="642" w:type="pct"/>
            <w:tcBorders>
              <w:top w:val="nil"/>
              <w:left w:val="nil"/>
              <w:bottom w:val="single" w:sz="4" w:space="0" w:color="auto"/>
              <w:right w:val="single" w:sz="4" w:space="0" w:color="auto"/>
            </w:tcBorders>
            <w:shd w:val="clear" w:color="auto" w:fill="auto"/>
            <w:noWrap/>
            <w:vAlign w:val="center"/>
            <w:hideMark/>
          </w:tcPr>
          <w:p w14:paraId="4C7B01FD"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44.4</w:t>
            </w:r>
          </w:p>
        </w:tc>
        <w:tc>
          <w:tcPr>
            <w:tcW w:w="642" w:type="pct"/>
            <w:tcBorders>
              <w:top w:val="nil"/>
              <w:left w:val="nil"/>
              <w:bottom w:val="single" w:sz="4" w:space="0" w:color="auto"/>
              <w:right w:val="single" w:sz="4" w:space="0" w:color="auto"/>
            </w:tcBorders>
            <w:shd w:val="clear" w:color="auto" w:fill="auto"/>
            <w:noWrap/>
            <w:vAlign w:val="center"/>
            <w:hideMark/>
          </w:tcPr>
          <w:p w14:paraId="26083030"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45.7</w:t>
            </w:r>
          </w:p>
        </w:tc>
        <w:tc>
          <w:tcPr>
            <w:tcW w:w="795" w:type="pct"/>
            <w:tcBorders>
              <w:top w:val="nil"/>
              <w:left w:val="nil"/>
              <w:bottom w:val="single" w:sz="4" w:space="0" w:color="auto"/>
              <w:right w:val="single" w:sz="4" w:space="0" w:color="auto"/>
            </w:tcBorders>
            <w:shd w:val="clear" w:color="auto" w:fill="auto"/>
            <w:noWrap/>
            <w:vAlign w:val="center"/>
            <w:hideMark/>
          </w:tcPr>
          <w:p w14:paraId="232D5CC8"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6.7 </w:t>
            </w:r>
          </w:p>
        </w:tc>
      </w:tr>
      <w:tr w:rsidR="002E191D" w:rsidRPr="00E43ED5" w14:paraId="188F6A8B" w14:textId="77777777" w:rsidTr="00E43ED5">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13946920"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17#</w:t>
            </w:r>
          </w:p>
        </w:tc>
        <w:tc>
          <w:tcPr>
            <w:tcW w:w="499" w:type="pct"/>
            <w:tcBorders>
              <w:top w:val="nil"/>
              <w:left w:val="nil"/>
              <w:bottom w:val="single" w:sz="4" w:space="0" w:color="auto"/>
              <w:right w:val="single" w:sz="4" w:space="0" w:color="auto"/>
            </w:tcBorders>
            <w:shd w:val="clear" w:color="auto" w:fill="auto"/>
            <w:vAlign w:val="center"/>
            <w:hideMark/>
          </w:tcPr>
          <w:p w14:paraId="3F919976"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MIT</w:t>
            </w:r>
          </w:p>
        </w:tc>
        <w:tc>
          <w:tcPr>
            <w:tcW w:w="641" w:type="pct"/>
            <w:tcBorders>
              <w:top w:val="nil"/>
              <w:left w:val="nil"/>
              <w:bottom w:val="single" w:sz="4" w:space="0" w:color="auto"/>
              <w:right w:val="single" w:sz="4" w:space="0" w:color="auto"/>
            </w:tcBorders>
            <w:shd w:val="clear" w:color="auto" w:fill="auto"/>
            <w:vAlign w:val="center"/>
            <w:hideMark/>
          </w:tcPr>
          <w:p w14:paraId="4FB91D7B"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41.9 </w:t>
            </w:r>
          </w:p>
        </w:tc>
        <w:tc>
          <w:tcPr>
            <w:tcW w:w="642" w:type="pct"/>
            <w:tcBorders>
              <w:top w:val="nil"/>
              <w:left w:val="nil"/>
              <w:bottom w:val="single" w:sz="4" w:space="0" w:color="auto"/>
              <w:right w:val="single" w:sz="4" w:space="0" w:color="auto"/>
            </w:tcBorders>
            <w:shd w:val="clear" w:color="auto" w:fill="auto"/>
            <w:vAlign w:val="center"/>
            <w:hideMark/>
          </w:tcPr>
          <w:p w14:paraId="0BACDAD1"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38.5 </w:t>
            </w:r>
          </w:p>
        </w:tc>
        <w:tc>
          <w:tcPr>
            <w:tcW w:w="641" w:type="pct"/>
            <w:tcBorders>
              <w:top w:val="nil"/>
              <w:left w:val="nil"/>
              <w:bottom w:val="single" w:sz="4" w:space="0" w:color="auto"/>
              <w:right w:val="single" w:sz="4" w:space="0" w:color="auto"/>
            </w:tcBorders>
            <w:shd w:val="clear" w:color="auto" w:fill="auto"/>
            <w:vAlign w:val="center"/>
            <w:hideMark/>
          </w:tcPr>
          <w:p w14:paraId="01534352"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39.2 </w:t>
            </w:r>
          </w:p>
        </w:tc>
        <w:tc>
          <w:tcPr>
            <w:tcW w:w="642" w:type="pct"/>
            <w:tcBorders>
              <w:top w:val="nil"/>
              <w:left w:val="nil"/>
              <w:bottom w:val="single" w:sz="4" w:space="0" w:color="auto"/>
              <w:right w:val="single" w:sz="4" w:space="0" w:color="auto"/>
            </w:tcBorders>
            <w:shd w:val="clear" w:color="auto" w:fill="auto"/>
            <w:noWrap/>
            <w:vAlign w:val="center"/>
            <w:hideMark/>
          </w:tcPr>
          <w:p w14:paraId="724A4786"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42.6</w:t>
            </w:r>
          </w:p>
        </w:tc>
        <w:tc>
          <w:tcPr>
            <w:tcW w:w="642" w:type="pct"/>
            <w:tcBorders>
              <w:top w:val="nil"/>
              <w:left w:val="nil"/>
              <w:bottom w:val="single" w:sz="4" w:space="0" w:color="auto"/>
              <w:right w:val="single" w:sz="4" w:space="0" w:color="auto"/>
            </w:tcBorders>
            <w:shd w:val="clear" w:color="auto" w:fill="auto"/>
            <w:noWrap/>
            <w:vAlign w:val="center"/>
            <w:hideMark/>
          </w:tcPr>
          <w:p w14:paraId="26A6DC5D"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43.1</w:t>
            </w:r>
          </w:p>
        </w:tc>
        <w:tc>
          <w:tcPr>
            <w:tcW w:w="795" w:type="pct"/>
            <w:tcBorders>
              <w:top w:val="nil"/>
              <w:left w:val="nil"/>
              <w:bottom w:val="single" w:sz="4" w:space="0" w:color="auto"/>
              <w:right w:val="single" w:sz="4" w:space="0" w:color="auto"/>
            </w:tcBorders>
            <w:shd w:val="clear" w:color="auto" w:fill="auto"/>
            <w:noWrap/>
            <w:vAlign w:val="center"/>
            <w:hideMark/>
          </w:tcPr>
          <w:p w14:paraId="6A60A463"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5.1 </w:t>
            </w:r>
          </w:p>
        </w:tc>
      </w:tr>
      <w:tr w:rsidR="002E191D" w:rsidRPr="00E43ED5" w14:paraId="499591EB" w14:textId="77777777" w:rsidTr="00E43ED5">
        <w:tc>
          <w:tcPr>
            <w:tcW w:w="497" w:type="pct"/>
            <w:vMerge/>
            <w:tcBorders>
              <w:top w:val="nil"/>
              <w:left w:val="single" w:sz="4" w:space="0" w:color="auto"/>
              <w:bottom w:val="single" w:sz="4" w:space="0" w:color="auto"/>
              <w:right w:val="single" w:sz="4" w:space="0" w:color="auto"/>
            </w:tcBorders>
            <w:vAlign w:val="center"/>
            <w:hideMark/>
          </w:tcPr>
          <w:p w14:paraId="50F724A5" w14:textId="77777777" w:rsidR="002E191D" w:rsidRPr="002E191D" w:rsidRDefault="002E191D" w:rsidP="002E191D">
            <w:pPr>
              <w:widowControl/>
              <w:jc w:val="left"/>
              <w:rPr>
                <w:rFonts w:eastAsiaTheme="minorEastAsia"/>
                <w:color w:val="000000"/>
                <w:kern w:val="0"/>
                <w:sz w:val="22"/>
                <w:szCs w:val="21"/>
              </w:rPr>
            </w:pPr>
          </w:p>
        </w:tc>
        <w:tc>
          <w:tcPr>
            <w:tcW w:w="499" w:type="pct"/>
            <w:tcBorders>
              <w:top w:val="nil"/>
              <w:left w:val="nil"/>
              <w:bottom w:val="single" w:sz="4" w:space="0" w:color="auto"/>
              <w:right w:val="single" w:sz="4" w:space="0" w:color="auto"/>
            </w:tcBorders>
            <w:shd w:val="clear" w:color="auto" w:fill="auto"/>
            <w:vAlign w:val="center"/>
            <w:hideMark/>
          </w:tcPr>
          <w:p w14:paraId="3445B917"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SB</w:t>
            </w:r>
          </w:p>
        </w:tc>
        <w:tc>
          <w:tcPr>
            <w:tcW w:w="641" w:type="pct"/>
            <w:tcBorders>
              <w:top w:val="nil"/>
              <w:left w:val="nil"/>
              <w:bottom w:val="single" w:sz="4" w:space="0" w:color="auto"/>
              <w:right w:val="single" w:sz="4" w:space="0" w:color="auto"/>
            </w:tcBorders>
            <w:shd w:val="clear" w:color="auto" w:fill="auto"/>
            <w:vAlign w:val="center"/>
            <w:hideMark/>
          </w:tcPr>
          <w:p w14:paraId="71DA7773"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6.75 </w:t>
            </w:r>
          </w:p>
        </w:tc>
        <w:tc>
          <w:tcPr>
            <w:tcW w:w="642" w:type="pct"/>
            <w:tcBorders>
              <w:top w:val="nil"/>
              <w:left w:val="nil"/>
              <w:bottom w:val="single" w:sz="4" w:space="0" w:color="auto"/>
              <w:right w:val="single" w:sz="4" w:space="0" w:color="auto"/>
            </w:tcBorders>
            <w:shd w:val="clear" w:color="auto" w:fill="auto"/>
            <w:vAlign w:val="center"/>
            <w:hideMark/>
          </w:tcPr>
          <w:p w14:paraId="65257DA5"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6.22 </w:t>
            </w:r>
          </w:p>
        </w:tc>
        <w:tc>
          <w:tcPr>
            <w:tcW w:w="641" w:type="pct"/>
            <w:tcBorders>
              <w:top w:val="nil"/>
              <w:left w:val="nil"/>
              <w:bottom w:val="single" w:sz="4" w:space="0" w:color="auto"/>
              <w:right w:val="single" w:sz="4" w:space="0" w:color="auto"/>
            </w:tcBorders>
            <w:shd w:val="clear" w:color="auto" w:fill="auto"/>
            <w:vAlign w:val="center"/>
            <w:hideMark/>
          </w:tcPr>
          <w:p w14:paraId="6A522158"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5.99 </w:t>
            </w:r>
          </w:p>
        </w:tc>
        <w:tc>
          <w:tcPr>
            <w:tcW w:w="642" w:type="pct"/>
            <w:tcBorders>
              <w:top w:val="nil"/>
              <w:left w:val="nil"/>
              <w:bottom w:val="single" w:sz="4" w:space="0" w:color="auto"/>
              <w:right w:val="single" w:sz="4" w:space="0" w:color="auto"/>
            </w:tcBorders>
            <w:shd w:val="clear" w:color="auto" w:fill="auto"/>
            <w:noWrap/>
            <w:vAlign w:val="center"/>
            <w:hideMark/>
          </w:tcPr>
          <w:p w14:paraId="6BD61737"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6.6</w:t>
            </w:r>
          </w:p>
        </w:tc>
        <w:tc>
          <w:tcPr>
            <w:tcW w:w="642" w:type="pct"/>
            <w:tcBorders>
              <w:top w:val="nil"/>
              <w:left w:val="nil"/>
              <w:bottom w:val="single" w:sz="4" w:space="0" w:color="auto"/>
              <w:right w:val="single" w:sz="4" w:space="0" w:color="auto"/>
            </w:tcBorders>
            <w:shd w:val="clear" w:color="auto" w:fill="auto"/>
            <w:noWrap/>
            <w:vAlign w:val="center"/>
            <w:hideMark/>
          </w:tcPr>
          <w:p w14:paraId="0F45888D"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6.83</w:t>
            </w:r>
          </w:p>
        </w:tc>
        <w:tc>
          <w:tcPr>
            <w:tcW w:w="795" w:type="pct"/>
            <w:tcBorders>
              <w:top w:val="nil"/>
              <w:left w:val="nil"/>
              <w:bottom w:val="single" w:sz="4" w:space="0" w:color="auto"/>
              <w:right w:val="single" w:sz="4" w:space="0" w:color="auto"/>
            </w:tcBorders>
            <w:shd w:val="clear" w:color="auto" w:fill="auto"/>
            <w:noWrap/>
            <w:vAlign w:val="center"/>
            <w:hideMark/>
          </w:tcPr>
          <w:p w14:paraId="79944E87"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5.6 </w:t>
            </w:r>
          </w:p>
        </w:tc>
      </w:tr>
      <w:tr w:rsidR="002E191D" w:rsidRPr="00E43ED5" w14:paraId="53F51EFF" w14:textId="77777777" w:rsidTr="00E43ED5">
        <w:tc>
          <w:tcPr>
            <w:tcW w:w="497" w:type="pct"/>
            <w:vMerge/>
            <w:tcBorders>
              <w:top w:val="nil"/>
              <w:left w:val="single" w:sz="4" w:space="0" w:color="auto"/>
              <w:bottom w:val="single" w:sz="4" w:space="0" w:color="auto"/>
              <w:right w:val="single" w:sz="4" w:space="0" w:color="auto"/>
            </w:tcBorders>
            <w:vAlign w:val="center"/>
            <w:hideMark/>
          </w:tcPr>
          <w:p w14:paraId="0A0BCE66" w14:textId="77777777" w:rsidR="002E191D" w:rsidRPr="002E191D" w:rsidRDefault="002E191D" w:rsidP="002E191D">
            <w:pPr>
              <w:widowControl/>
              <w:jc w:val="left"/>
              <w:rPr>
                <w:rFonts w:eastAsiaTheme="minorEastAsia"/>
                <w:color w:val="000000"/>
                <w:kern w:val="0"/>
                <w:sz w:val="22"/>
                <w:szCs w:val="21"/>
              </w:rPr>
            </w:pPr>
          </w:p>
        </w:tc>
        <w:tc>
          <w:tcPr>
            <w:tcW w:w="499" w:type="pct"/>
            <w:tcBorders>
              <w:top w:val="nil"/>
              <w:left w:val="nil"/>
              <w:bottom w:val="single" w:sz="4" w:space="0" w:color="auto"/>
              <w:right w:val="single" w:sz="4" w:space="0" w:color="auto"/>
            </w:tcBorders>
            <w:shd w:val="clear" w:color="auto" w:fill="auto"/>
            <w:vAlign w:val="center"/>
            <w:hideMark/>
          </w:tcPr>
          <w:p w14:paraId="01F9D35C"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CMIT</w:t>
            </w:r>
          </w:p>
        </w:tc>
        <w:tc>
          <w:tcPr>
            <w:tcW w:w="641" w:type="pct"/>
            <w:tcBorders>
              <w:top w:val="nil"/>
              <w:left w:val="nil"/>
              <w:bottom w:val="single" w:sz="4" w:space="0" w:color="auto"/>
              <w:right w:val="single" w:sz="4" w:space="0" w:color="auto"/>
            </w:tcBorders>
            <w:shd w:val="clear" w:color="auto" w:fill="auto"/>
            <w:vAlign w:val="center"/>
            <w:hideMark/>
          </w:tcPr>
          <w:p w14:paraId="682E1BA7"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3.25 </w:t>
            </w:r>
          </w:p>
        </w:tc>
        <w:tc>
          <w:tcPr>
            <w:tcW w:w="642" w:type="pct"/>
            <w:tcBorders>
              <w:top w:val="nil"/>
              <w:left w:val="nil"/>
              <w:bottom w:val="single" w:sz="4" w:space="0" w:color="auto"/>
              <w:right w:val="single" w:sz="4" w:space="0" w:color="auto"/>
            </w:tcBorders>
            <w:shd w:val="clear" w:color="auto" w:fill="auto"/>
            <w:vAlign w:val="center"/>
            <w:hideMark/>
          </w:tcPr>
          <w:p w14:paraId="4BE7CE74"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2.91 </w:t>
            </w:r>
          </w:p>
        </w:tc>
        <w:tc>
          <w:tcPr>
            <w:tcW w:w="641" w:type="pct"/>
            <w:tcBorders>
              <w:top w:val="nil"/>
              <w:left w:val="nil"/>
              <w:bottom w:val="single" w:sz="4" w:space="0" w:color="auto"/>
              <w:right w:val="single" w:sz="4" w:space="0" w:color="auto"/>
            </w:tcBorders>
            <w:shd w:val="clear" w:color="auto" w:fill="auto"/>
            <w:vAlign w:val="center"/>
            <w:hideMark/>
          </w:tcPr>
          <w:p w14:paraId="16E8217E"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3.11 </w:t>
            </w:r>
          </w:p>
        </w:tc>
        <w:tc>
          <w:tcPr>
            <w:tcW w:w="642" w:type="pct"/>
            <w:tcBorders>
              <w:top w:val="nil"/>
              <w:left w:val="nil"/>
              <w:bottom w:val="single" w:sz="4" w:space="0" w:color="auto"/>
              <w:right w:val="single" w:sz="4" w:space="0" w:color="auto"/>
            </w:tcBorders>
            <w:shd w:val="clear" w:color="auto" w:fill="auto"/>
            <w:noWrap/>
            <w:vAlign w:val="center"/>
            <w:hideMark/>
          </w:tcPr>
          <w:p w14:paraId="6259A115"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3.35</w:t>
            </w:r>
          </w:p>
        </w:tc>
        <w:tc>
          <w:tcPr>
            <w:tcW w:w="642" w:type="pct"/>
            <w:tcBorders>
              <w:top w:val="nil"/>
              <w:left w:val="nil"/>
              <w:bottom w:val="single" w:sz="4" w:space="0" w:color="auto"/>
              <w:right w:val="single" w:sz="4" w:space="0" w:color="auto"/>
            </w:tcBorders>
            <w:shd w:val="clear" w:color="auto" w:fill="auto"/>
            <w:noWrap/>
            <w:vAlign w:val="center"/>
            <w:hideMark/>
          </w:tcPr>
          <w:p w14:paraId="23859951"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3.21</w:t>
            </w:r>
          </w:p>
        </w:tc>
        <w:tc>
          <w:tcPr>
            <w:tcW w:w="795" w:type="pct"/>
            <w:tcBorders>
              <w:top w:val="nil"/>
              <w:left w:val="nil"/>
              <w:bottom w:val="single" w:sz="4" w:space="0" w:color="auto"/>
              <w:right w:val="single" w:sz="4" w:space="0" w:color="auto"/>
            </w:tcBorders>
            <w:shd w:val="clear" w:color="auto" w:fill="auto"/>
            <w:noWrap/>
            <w:vAlign w:val="center"/>
            <w:hideMark/>
          </w:tcPr>
          <w:p w14:paraId="57578779"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5.3 </w:t>
            </w:r>
          </w:p>
        </w:tc>
      </w:tr>
      <w:tr w:rsidR="002E191D" w:rsidRPr="00E43ED5" w14:paraId="3A2F140C" w14:textId="77777777" w:rsidTr="00E43ED5">
        <w:tc>
          <w:tcPr>
            <w:tcW w:w="497" w:type="pct"/>
            <w:tcBorders>
              <w:top w:val="nil"/>
              <w:left w:val="single" w:sz="4" w:space="0" w:color="auto"/>
              <w:bottom w:val="single" w:sz="4" w:space="0" w:color="auto"/>
              <w:right w:val="single" w:sz="4" w:space="0" w:color="auto"/>
            </w:tcBorders>
            <w:shd w:val="clear" w:color="auto" w:fill="auto"/>
            <w:vAlign w:val="center"/>
            <w:hideMark/>
          </w:tcPr>
          <w:p w14:paraId="7DB30801"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25#</w:t>
            </w:r>
          </w:p>
        </w:tc>
        <w:tc>
          <w:tcPr>
            <w:tcW w:w="499" w:type="pct"/>
            <w:tcBorders>
              <w:top w:val="nil"/>
              <w:left w:val="nil"/>
              <w:bottom w:val="single" w:sz="4" w:space="0" w:color="auto"/>
              <w:right w:val="single" w:sz="4" w:space="0" w:color="auto"/>
            </w:tcBorders>
            <w:shd w:val="clear" w:color="auto" w:fill="auto"/>
            <w:vAlign w:val="center"/>
            <w:hideMark/>
          </w:tcPr>
          <w:p w14:paraId="584719BB"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MIT</w:t>
            </w:r>
          </w:p>
        </w:tc>
        <w:tc>
          <w:tcPr>
            <w:tcW w:w="641" w:type="pct"/>
            <w:tcBorders>
              <w:top w:val="nil"/>
              <w:left w:val="nil"/>
              <w:bottom w:val="single" w:sz="4" w:space="0" w:color="auto"/>
              <w:right w:val="single" w:sz="4" w:space="0" w:color="auto"/>
            </w:tcBorders>
            <w:shd w:val="clear" w:color="auto" w:fill="auto"/>
            <w:vAlign w:val="center"/>
            <w:hideMark/>
          </w:tcPr>
          <w:p w14:paraId="3AB2EF14"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62.2 </w:t>
            </w:r>
          </w:p>
        </w:tc>
        <w:tc>
          <w:tcPr>
            <w:tcW w:w="642" w:type="pct"/>
            <w:tcBorders>
              <w:top w:val="nil"/>
              <w:left w:val="nil"/>
              <w:bottom w:val="single" w:sz="4" w:space="0" w:color="auto"/>
              <w:right w:val="single" w:sz="4" w:space="0" w:color="auto"/>
            </w:tcBorders>
            <w:shd w:val="clear" w:color="auto" w:fill="auto"/>
            <w:vAlign w:val="center"/>
            <w:hideMark/>
          </w:tcPr>
          <w:p w14:paraId="7D8AAB6D"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58.3 </w:t>
            </w:r>
          </w:p>
        </w:tc>
        <w:tc>
          <w:tcPr>
            <w:tcW w:w="641" w:type="pct"/>
            <w:tcBorders>
              <w:top w:val="nil"/>
              <w:left w:val="nil"/>
              <w:bottom w:val="single" w:sz="4" w:space="0" w:color="auto"/>
              <w:right w:val="single" w:sz="4" w:space="0" w:color="auto"/>
            </w:tcBorders>
            <w:shd w:val="clear" w:color="auto" w:fill="auto"/>
            <w:vAlign w:val="center"/>
            <w:hideMark/>
          </w:tcPr>
          <w:p w14:paraId="4BDF7AA5"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59.6 </w:t>
            </w:r>
          </w:p>
        </w:tc>
        <w:tc>
          <w:tcPr>
            <w:tcW w:w="642" w:type="pct"/>
            <w:tcBorders>
              <w:top w:val="nil"/>
              <w:left w:val="nil"/>
              <w:bottom w:val="single" w:sz="4" w:space="0" w:color="auto"/>
              <w:right w:val="single" w:sz="4" w:space="0" w:color="auto"/>
            </w:tcBorders>
            <w:shd w:val="clear" w:color="auto" w:fill="auto"/>
            <w:noWrap/>
            <w:vAlign w:val="center"/>
            <w:hideMark/>
          </w:tcPr>
          <w:p w14:paraId="5770E422"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63.5</w:t>
            </w:r>
          </w:p>
        </w:tc>
        <w:tc>
          <w:tcPr>
            <w:tcW w:w="642" w:type="pct"/>
            <w:tcBorders>
              <w:top w:val="nil"/>
              <w:left w:val="nil"/>
              <w:bottom w:val="single" w:sz="4" w:space="0" w:color="auto"/>
              <w:right w:val="single" w:sz="4" w:space="0" w:color="auto"/>
            </w:tcBorders>
            <w:shd w:val="clear" w:color="auto" w:fill="auto"/>
            <w:noWrap/>
            <w:vAlign w:val="center"/>
            <w:hideMark/>
          </w:tcPr>
          <w:p w14:paraId="20ECBE2D"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67.6</w:t>
            </w:r>
          </w:p>
        </w:tc>
        <w:tc>
          <w:tcPr>
            <w:tcW w:w="795" w:type="pct"/>
            <w:tcBorders>
              <w:top w:val="nil"/>
              <w:left w:val="nil"/>
              <w:bottom w:val="single" w:sz="4" w:space="0" w:color="auto"/>
              <w:right w:val="single" w:sz="4" w:space="0" w:color="auto"/>
            </w:tcBorders>
            <w:shd w:val="clear" w:color="auto" w:fill="auto"/>
            <w:noWrap/>
            <w:vAlign w:val="center"/>
            <w:hideMark/>
          </w:tcPr>
          <w:p w14:paraId="35488550"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5.8 </w:t>
            </w:r>
          </w:p>
        </w:tc>
      </w:tr>
      <w:tr w:rsidR="002E191D" w:rsidRPr="00E43ED5" w14:paraId="53E29177" w14:textId="77777777" w:rsidTr="00E43ED5">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3B20DCDD"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32#</w:t>
            </w:r>
          </w:p>
        </w:tc>
        <w:tc>
          <w:tcPr>
            <w:tcW w:w="499" w:type="pct"/>
            <w:tcBorders>
              <w:top w:val="nil"/>
              <w:left w:val="nil"/>
              <w:bottom w:val="single" w:sz="4" w:space="0" w:color="auto"/>
              <w:right w:val="single" w:sz="4" w:space="0" w:color="auto"/>
            </w:tcBorders>
            <w:shd w:val="clear" w:color="auto" w:fill="auto"/>
            <w:vAlign w:val="center"/>
            <w:hideMark/>
          </w:tcPr>
          <w:p w14:paraId="76C5CF37"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MIT</w:t>
            </w:r>
          </w:p>
        </w:tc>
        <w:tc>
          <w:tcPr>
            <w:tcW w:w="641" w:type="pct"/>
            <w:tcBorders>
              <w:top w:val="nil"/>
              <w:left w:val="nil"/>
              <w:bottom w:val="single" w:sz="4" w:space="0" w:color="auto"/>
              <w:right w:val="single" w:sz="4" w:space="0" w:color="auto"/>
            </w:tcBorders>
            <w:shd w:val="clear" w:color="auto" w:fill="auto"/>
            <w:vAlign w:val="center"/>
            <w:hideMark/>
          </w:tcPr>
          <w:p w14:paraId="1DAB7562"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44.2 </w:t>
            </w:r>
          </w:p>
        </w:tc>
        <w:tc>
          <w:tcPr>
            <w:tcW w:w="642" w:type="pct"/>
            <w:tcBorders>
              <w:top w:val="nil"/>
              <w:left w:val="nil"/>
              <w:bottom w:val="single" w:sz="4" w:space="0" w:color="auto"/>
              <w:right w:val="single" w:sz="4" w:space="0" w:color="auto"/>
            </w:tcBorders>
            <w:shd w:val="clear" w:color="auto" w:fill="auto"/>
            <w:vAlign w:val="center"/>
            <w:hideMark/>
          </w:tcPr>
          <w:p w14:paraId="55C2E294"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39.6 </w:t>
            </w:r>
          </w:p>
        </w:tc>
        <w:tc>
          <w:tcPr>
            <w:tcW w:w="641" w:type="pct"/>
            <w:tcBorders>
              <w:top w:val="nil"/>
              <w:left w:val="nil"/>
              <w:bottom w:val="single" w:sz="4" w:space="0" w:color="auto"/>
              <w:right w:val="single" w:sz="4" w:space="0" w:color="auto"/>
            </w:tcBorders>
            <w:shd w:val="clear" w:color="auto" w:fill="auto"/>
            <w:vAlign w:val="center"/>
            <w:hideMark/>
          </w:tcPr>
          <w:p w14:paraId="307B2786"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40.70 </w:t>
            </w:r>
          </w:p>
        </w:tc>
        <w:tc>
          <w:tcPr>
            <w:tcW w:w="642" w:type="pct"/>
            <w:tcBorders>
              <w:top w:val="nil"/>
              <w:left w:val="nil"/>
              <w:bottom w:val="single" w:sz="4" w:space="0" w:color="auto"/>
              <w:right w:val="single" w:sz="4" w:space="0" w:color="auto"/>
            </w:tcBorders>
            <w:shd w:val="clear" w:color="auto" w:fill="auto"/>
            <w:noWrap/>
            <w:vAlign w:val="center"/>
            <w:hideMark/>
          </w:tcPr>
          <w:p w14:paraId="7FA81EC3"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46.8</w:t>
            </w:r>
          </w:p>
        </w:tc>
        <w:tc>
          <w:tcPr>
            <w:tcW w:w="642" w:type="pct"/>
            <w:tcBorders>
              <w:top w:val="nil"/>
              <w:left w:val="nil"/>
              <w:bottom w:val="single" w:sz="4" w:space="0" w:color="auto"/>
              <w:right w:val="single" w:sz="4" w:space="0" w:color="auto"/>
            </w:tcBorders>
            <w:shd w:val="clear" w:color="auto" w:fill="auto"/>
            <w:noWrap/>
            <w:vAlign w:val="center"/>
            <w:hideMark/>
          </w:tcPr>
          <w:p w14:paraId="6FB10BEF"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45.9</w:t>
            </w:r>
          </w:p>
        </w:tc>
        <w:tc>
          <w:tcPr>
            <w:tcW w:w="795" w:type="pct"/>
            <w:tcBorders>
              <w:top w:val="nil"/>
              <w:left w:val="nil"/>
              <w:bottom w:val="single" w:sz="4" w:space="0" w:color="auto"/>
              <w:right w:val="single" w:sz="4" w:space="0" w:color="auto"/>
            </w:tcBorders>
            <w:shd w:val="clear" w:color="auto" w:fill="auto"/>
            <w:noWrap/>
            <w:vAlign w:val="center"/>
            <w:hideMark/>
          </w:tcPr>
          <w:p w14:paraId="7623BBA5"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7.3 </w:t>
            </w:r>
          </w:p>
        </w:tc>
      </w:tr>
      <w:tr w:rsidR="002E191D" w:rsidRPr="00E43ED5" w14:paraId="47293718" w14:textId="77777777" w:rsidTr="00E43ED5">
        <w:tc>
          <w:tcPr>
            <w:tcW w:w="497" w:type="pct"/>
            <w:vMerge/>
            <w:tcBorders>
              <w:top w:val="nil"/>
              <w:left w:val="single" w:sz="4" w:space="0" w:color="auto"/>
              <w:bottom w:val="single" w:sz="4" w:space="0" w:color="auto"/>
              <w:right w:val="single" w:sz="4" w:space="0" w:color="auto"/>
            </w:tcBorders>
            <w:vAlign w:val="center"/>
            <w:hideMark/>
          </w:tcPr>
          <w:p w14:paraId="35F36B0E" w14:textId="77777777" w:rsidR="002E191D" w:rsidRPr="002E191D" w:rsidRDefault="002E191D" w:rsidP="002E191D">
            <w:pPr>
              <w:widowControl/>
              <w:jc w:val="left"/>
              <w:rPr>
                <w:rFonts w:eastAsiaTheme="minorEastAsia"/>
                <w:color w:val="000000"/>
                <w:kern w:val="0"/>
                <w:sz w:val="22"/>
                <w:szCs w:val="21"/>
              </w:rPr>
            </w:pPr>
          </w:p>
        </w:tc>
        <w:tc>
          <w:tcPr>
            <w:tcW w:w="499" w:type="pct"/>
            <w:tcBorders>
              <w:top w:val="nil"/>
              <w:left w:val="nil"/>
              <w:bottom w:val="single" w:sz="4" w:space="0" w:color="auto"/>
              <w:right w:val="single" w:sz="4" w:space="0" w:color="auto"/>
            </w:tcBorders>
            <w:shd w:val="clear" w:color="auto" w:fill="auto"/>
            <w:vAlign w:val="center"/>
            <w:hideMark/>
          </w:tcPr>
          <w:p w14:paraId="565ED658" w14:textId="77777777" w:rsidR="002E191D" w:rsidRPr="002E191D" w:rsidRDefault="002E191D" w:rsidP="002E191D">
            <w:pPr>
              <w:widowControl/>
              <w:jc w:val="center"/>
              <w:rPr>
                <w:rFonts w:eastAsiaTheme="minorEastAsia"/>
                <w:color w:val="000000"/>
                <w:kern w:val="0"/>
                <w:sz w:val="22"/>
                <w:szCs w:val="21"/>
              </w:rPr>
            </w:pPr>
            <w:r w:rsidRPr="002E191D">
              <w:rPr>
                <w:rFonts w:eastAsiaTheme="minorEastAsia"/>
                <w:color w:val="000000"/>
                <w:kern w:val="0"/>
                <w:sz w:val="22"/>
                <w:szCs w:val="21"/>
              </w:rPr>
              <w:t>CMIT</w:t>
            </w:r>
          </w:p>
        </w:tc>
        <w:tc>
          <w:tcPr>
            <w:tcW w:w="641" w:type="pct"/>
            <w:tcBorders>
              <w:top w:val="nil"/>
              <w:left w:val="nil"/>
              <w:bottom w:val="single" w:sz="4" w:space="0" w:color="auto"/>
              <w:right w:val="single" w:sz="4" w:space="0" w:color="auto"/>
            </w:tcBorders>
            <w:shd w:val="clear" w:color="auto" w:fill="auto"/>
            <w:vAlign w:val="center"/>
            <w:hideMark/>
          </w:tcPr>
          <w:p w14:paraId="0F51DB24"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3.16 </w:t>
            </w:r>
          </w:p>
        </w:tc>
        <w:tc>
          <w:tcPr>
            <w:tcW w:w="642" w:type="pct"/>
            <w:tcBorders>
              <w:top w:val="nil"/>
              <w:left w:val="nil"/>
              <w:bottom w:val="single" w:sz="4" w:space="0" w:color="auto"/>
              <w:right w:val="single" w:sz="4" w:space="0" w:color="auto"/>
            </w:tcBorders>
            <w:shd w:val="clear" w:color="auto" w:fill="auto"/>
            <w:noWrap/>
            <w:vAlign w:val="center"/>
            <w:hideMark/>
          </w:tcPr>
          <w:p w14:paraId="5250C081"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2.78</w:t>
            </w:r>
          </w:p>
        </w:tc>
        <w:tc>
          <w:tcPr>
            <w:tcW w:w="641" w:type="pct"/>
            <w:tcBorders>
              <w:top w:val="nil"/>
              <w:left w:val="nil"/>
              <w:bottom w:val="single" w:sz="4" w:space="0" w:color="auto"/>
              <w:right w:val="single" w:sz="4" w:space="0" w:color="auto"/>
            </w:tcBorders>
            <w:shd w:val="clear" w:color="auto" w:fill="auto"/>
            <w:noWrap/>
            <w:vAlign w:val="center"/>
            <w:hideMark/>
          </w:tcPr>
          <w:p w14:paraId="7EF5F930"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3.06</w:t>
            </w:r>
          </w:p>
        </w:tc>
        <w:tc>
          <w:tcPr>
            <w:tcW w:w="642" w:type="pct"/>
            <w:tcBorders>
              <w:top w:val="nil"/>
              <w:left w:val="nil"/>
              <w:bottom w:val="single" w:sz="4" w:space="0" w:color="auto"/>
              <w:right w:val="single" w:sz="4" w:space="0" w:color="auto"/>
            </w:tcBorders>
            <w:shd w:val="clear" w:color="auto" w:fill="auto"/>
            <w:noWrap/>
            <w:vAlign w:val="center"/>
            <w:hideMark/>
          </w:tcPr>
          <w:p w14:paraId="3D65AEF5"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3.36</w:t>
            </w:r>
          </w:p>
        </w:tc>
        <w:tc>
          <w:tcPr>
            <w:tcW w:w="642" w:type="pct"/>
            <w:tcBorders>
              <w:top w:val="nil"/>
              <w:left w:val="nil"/>
              <w:bottom w:val="single" w:sz="4" w:space="0" w:color="auto"/>
              <w:right w:val="single" w:sz="4" w:space="0" w:color="auto"/>
            </w:tcBorders>
            <w:shd w:val="clear" w:color="auto" w:fill="auto"/>
            <w:noWrap/>
            <w:vAlign w:val="center"/>
            <w:hideMark/>
          </w:tcPr>
          <w:p w14:paraId="00F5C50C"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3.27</w:t>
            </w:r>
          </w:p>
        </w:tc>
        <w:tc>
          <w:tcPr>
            <w:tcW w:w="795" w:type="pct"/>
            <w:tcBorders>
              <w:top w:val="nil"/>
              <w:left w:val="nil"/>
              <w:bottom w:val="single" w:sz="4" w:space="0" w:color="auto"/>
              <w:right w:val="single" w:sz="4" w:space="0" w:color="auto"/>
            </w:tcBorders>
            <w:shd w:val="clear" w:color="auto" w:fill="auto"/>
            <w:noWrap/>
            <w:vAlign w:val="center"/>
            <w:hideMark/>
          </w:tcPr>
          <w:p w14:paraId="6F95213E" w14:textId="77777777" w:rsidR="002E191D" w:rsidRPr="00E43ED5" w:rsidRDefault="002E191D">
            <w:pPr>
              <w:jc w:val="center"/>
              <w:rPr>
                <w:rFonts w:eastAsiaTheme="minorEastAsia"/>
                <w:color w:val="000000"/>
                <w:sz w:val="22"/>
                <w:szCs w:val="21"/>
              </w:rPr>
            </w:pPr>
            <w:r w:rsidRPr="00E43ED5">
              <w:rPr>
                <w:rFonts w:eastAsiaTheme="minorEastAsia"/>
                <w:color w:val="000000"/>
                <w:sz w:val="22"/>
                <w:szCs w:val="21"/>
              </w:rPr>
              <w:t xml:space="preserve">7.2 </w:t>
            </w:r>
          </w:p>
        </w:tc>
      </w:tr>
    </w:tbl>
    <w:p w14:paraId="13336492" w14:textId="77777777" w:rsidR="002E191D" w:rsidRPr="00116A24" w:rsidRDefault="002E191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有验证结果可以看出，本方法实验室间重现性RSD为</w:t>
      </w:r>
      <w:r w:rsidRPr="00116A24">
        <w:rPr>
          <w:rFonts w:asciiTheme="minorEastAsia" w:eastAsiaTheme="minorEastAsia" w:hAnsiTheme="minorEastAsia"/>
          <w:sz w:val="24"/>
          <w:szCs w:val="28"/>
        </w:rPr>
        <w:t>4.4%~</w:t>
      </w:r>
      <w:r w:rsidRPr="00116A24">
        <w:rPr>
          <w:rFonts w:asciiTheme="minorEastAsia" w:eastAsiaTheme="minorEastAsia" w:hAnsiTheme="minorEastAsia" w:hint="eastAsia"/>
          <w:sz w:val="24"/>
          <w:szCs w:val="28"/>
        </w:rPr>
        <w:t>7.</w:t>
      </w:r>
      <w:r w:rsidRPr="00116A24">
        <w:rPr>
          <w:rFonts w:asciiTheme="minorEastAsia" w:eastAsiaTheme="minorEastAsia" w:hAnsiTheme="minorEastAsia"/>
          <w:sz w:val="24"/>
          <w:szCs w:val="28"/>
        </w:rPr>
        <w:t>3%</w:t>
      </w:r>
      <w:r w:rsidRPr="00116A24">
        <w:rPr>
          <w:rFonts w:asciiTheme="minorEastAsia" w:eastAsiaTheme="minorEastAsia" w:hAnsiTheme="minorEastAsia" w:hint="eastAsia"/>
          <w:sz w:val="24"/>
          <w:szCs w:val="28"/>
        </w:rPr>
        <w:t>，符合</w:t>
      </w:r>
      <w:r w:rsidRPr="00116A24">
        <w:rPr>
          <w:rFonts w:asciiTheme="minorEastAsia" w:eastAsiaTheme="minorEastAsia" w:hAnsiTheme="minorEastAsia"/>
          <w:sz w:val="24"/>
          <w:szCs w:val="28"/>
        </w:rPr>
        <w:t>GB/T</w:t>
      </w:r>
      <w:r w:rsidRPr="00116A24">
        <w:rPr>
          <w:rFonts w:asciiTheme="minorEastAsia" w:eastAsiaTheme="minorEastAsia" w:hAnsiTheme="minorEastAsia" w:hint="eastAsia"/>
          <w:sz w:val="24"/>
          <w:szCs w:val="28"/>
        </w:rPr>
        <w:t xml:space="preserve"> </w:t>
      </w:r>
      <w:r w:rsidRPr="00116A24">
        <w:rPr>
          <w:rFonts w:asciiTheme="minorEastAsia" w:eastAsiaTheme="minorEastAsia" w:hAnsiTheme="minorEastAsia"/>
          <w:sz w:val="24"/>
          <w:szCs w:val="28"/>
        </w:rPr>
        <w:t>27417-2017</w:t>
      </w:r>
      <w:r w:rsidRPr="00116A24">
        <w:rPr>
          <w:rFonts w:asciiTheme="minorEastAsia" w:eastAsiaTheme="minorEastAsia" w:hAnsiTheme="minorEastAsia" w:hint="eastAsia"/>
          <w:sz w:val="24"/>
          <w:szCs w:val="28"/>
        </w:rPr>
        <w:t>中变异系数的要求。</w:t>
      </w:r>
    </w:p>
    <w:p w14:paraId="35A5E824" w14:textId="77777777" w:rsidR="002E191D" w:rsidRDefault="00877A14" w:rsidP="002E191D">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4.</w:t>
      </w:r>
      <w:r w:rsidR="002E191D">
        <w:rPr>
          <w:rFonts w:asciiTheme="minorEastAsia" w:eastAsiaTheme="minorEastAsia" w:hAnsiTheme="minorEastAsia" w:cs="宋体" w:hint="eastAsia"/>
          <w:b/>
          <w:kern w:val="0"/>
          <w:sz w:val="28"/>
          <w:szCs w:val="32"/>
        </w:rPr>
        <w:t>标准中涉及专利的情况</w:t>
      </w:r>
    </w:p>
    <w:p w14:paraId="38C78246" w14:textId="77777777" w:rsidR="002E191D" w:rsidRPr="00116A24" w:rsidRDefault="002E191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本标准不涉及专利问题。</w:t>
      </w:r>
    </w:p>
    <w:p w14:paraId="58DD7F0F" w14:textId="77777777" w:rsidR="002E191D" w:rsidRDefault="00877A14" w:rsidP="002E191D">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5.</w:t>
      </w:r>
      <w:r w:rsidR="002E191D">
        <w:rPr>
          <w:rFonts w:asciiTheme="minorEastAsia" w:eastAsiaTheme="minorEastAsia" w:hAnsiTheme="minorEastAsia" w:cs="宋体" w:hint="eastAsia"/>
          <w:b/>
          <w:kern w:val="0"/>
          <w:sz w:val="28"/>
          <w:szCs w:val="32"/>
        </w:rPr>
        <w:t>与国际、国外标准对比情况</w:t>
      </w:r>
    </w:p>
    <w:p w14:paraId="4460552A" w14:textId="77777777" w:rsidR="002E191D" w:rsidRPr="00116A24" w:rsidRDefault="002E191D"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本标准制定过程中未参照同类国际、国外标准，本标准水平为国内先进。</w:t>
      </w:r>
    </w:p>
    <w:p w14:paraId="3EB0099E" w14:textId="77777777" w:rsidR="00877A14" w:rsidRPr="00877A14" w:rsidRDefault="00877A14" w:rsidP="00877A14">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6.</w:t>
      </w:r>
      <w:r w:rsidRPr="00877A14">
        <w:rPr>
          <w:rFonts w:asciiTheme="minorEastAsia" w:eastAsiaTheme="minorEastAsia" w:hAnsiTheme="minorEastAsia" w:cs="宋体" w:hint="eastAsia"/>
          <w:b/>
          <w:kern w:val="0"/>
          <w:sz w:val="28"/>
          <w:szCs w:val="32"/>
        </w:rPr>
        <w:t>在标准体系中的位直，与现行相关法律、法规、规章及标准，特别是强制性标准的协调性</w:t>
      </w:r>
    </w:p>
    <w:p w14:paraId="026DD8AE" w14:textId="77777777" w:rsidR="00877A14" w:rsidRPr="00877A14" w:rsidRDefault="00877A14" w:rsidP="00116A24">
      <w:pPr>
        <w:spacing w:line="360" w:lineRule="auto"/>
        <w:ind w:firstLineChars="225" w:firstLine="540"/>
        <w:rPr>
          <w:rFonts w:asciiTheme="minorEastAsia" w:eastAsiaTheme="minorEastAsia" w:hAnsiTheme="minorEastAsia"/>
          <w:sz w:val="28"/>
          <w:szCs w:val="28"/>
        </w:rPr>
      </w:pPr>
      <w:r w:rsidRPr="00116A24">
        <w:rPr>
          <w:rFonts w:asciiTheme="minorEastAsia" w:eastAsiaTheme="minorEastAsia" w:hAnsiTheme="minorEastAsia" w:hint="eastAsia"/>
          <w:sz w:val="24"/>
          <w:szCs w:val="28"/>
        </w:rPr>
        <w:t>本标准在本专业领域的标准体系中编号为：ICS 71.100.40，CCS Y 43，与表面活性剂行业现行相关法律、法规、规章及标准无冲突和矛盾之处，与洗涤行业相关法律法规、规章协调一致。</w:t>
      </w:r>
    </w:p>
    <w:p w14:paraId="4B1E3C5D" w14:textId="77777777" w:rsidR="00877A14" w:rsidRPr="00877A14" w:rsidRDefault="00877A14" w:rsidP="00877A14">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7.</w:t>
      </w:r>
      <w:r w:rsidRPr="00877A14">
        <w:rPr>
          <w:rFonts w:asciiTheme="minorEastAsia" w:eastAsiaTheme="minorEastAsia" w:hAnsiTheme="minorEastAsia" w:cs="宋体" w:hint="eastAsia"/>
          <w:b/>
          <w:kern w:val="0"/>
          <w:sz w:val="28"/>
          <w:szCs w:val="32"/>
        </w:rPr>
        <w:t>重大分歧意见的处理经过和依据</w:t>
      </w:r>
    </w:p>
    <w:p w14:paraId="61FE9B9E" w14:textId="77777777" w:rsidR="00877A14" w:rsidRPr="00116A24" w:rsidRDefault="00877A14"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无。</w:t>
      </w:r>
    </w:p>
    <w:p w14:paraId="7FA4F973" w14:textId="77777777" w:rsidR="00877A14" w:rsidRPr="00877A14" w:rsidRDefault="00877A14" w:rsidP="00877A14">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8.</w:t>
      </w:r>
      <w:r w:rsidRPr="00877A14">
        <w:rPr>
          <w:rFonts w:asciiTheme="minorEastAsia" w:eastAsiaTheme="minorEastAsia" w:hAnsiTheme="minorEastAsia" w:cs="宋体" w:hint="eastAsia"/>
          <w:b/>
          <w:kern w:val="0"/>
          <w:sz w:val="28"/>
          <w:szCs w:val="32"/>
        </w:rPr>
        <w:t>标准性质的建议说明</w:t>
      </w:r>
    </w:p>
    <w:p w14:paraId="7702B70C" w14:textId="77777777" w:rsidR="00877A14" w:rsidRPr="00116A24" w:rsidRDefault="00877A14"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本标准的性质为推荐性行业标准。</w:t>
      </w:r>
    </w:p>
    <w:p w14:paraId="3E353461" w14:textId="77777777" w:rsidR="00877A14" w:rsidRPr="00877A14" w:rsidRDefault="00877A14" w:rsidP="00877A14">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lastRenderedPageBreak/>
        <w:t>9.</w:t>
      </w:r>
      <w:r w:rsidRPr="00877A14">
        <w:rPr>
          <w:rFonts w:asciiTheme="minorEastAsia" w:eastAsiaTheme="minorEastAsia" w:hAnsiTheme="minorEastAsia" w:cs="宋体" w:hint="eastAsia"/>
          <w:b/>
          <w:kern w:val="0"/>
          <w:sz w:val="28"/>
          <w:szCs w:val="32"/>
        </w:rPr>
        <w:t>贯彻标准的要求和措施建议</w:t>
      </w:r>
    </w:p>
    <w:p w14:paraId="1A27522B" w14:textId="77777777" w:rsidR="00877A14" w:rsidRPr="00116A24" w:rsidRDefault="00877A14"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建议本标准批准发布6个月后实施。</w:t>
      </w:r>
    </w:p>
    <w:p w14:paraId="718808CB" w14:textId="77777777" w:rsidR="00877A14" w:rsidRPr="00877A14" w:rsidRDefault="00877A14" w:rsidP="00877A14">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10.</w:t>
      </w:r>
      <w:r w:rsidRPr="00877A14">
        <w:rPr>
          <w:rFonts w:asciiTheme="minorEastAsia" w:eastAsiaTheme="minorEastAsia" w:hAnsiTheme="minorEastAsia" w:cs="宋体" w:hint="eastAsia"/>
          <w:b/>
          <w:kern w:val="0"/>
          <w:sz w:val="28"/>
          <w:szCs w:val="32"/>
        </w:rPr>
        <w:t>废止现行相关标准的建议</w:t>
      </w:r>
    </w:p>
    <w:p w14:paraId="0AC65766" w14:textId="77777777" w:rsidR="00877A14" w:rsidRPr="00116A24" w:rsidRDefault="00877A14"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无。</w:t>
      </w:r>
    </w:p>
    <w:p w14:paraId="76139D12" w14:textId="77777777" w:rsidR="00180BC2" w:rsidRPr="00877A14" w:rsidRDefault="00877A14" w:rsidP="00877A14">
      <w:pPr>
        <w:autoSpaceDE w:val="0"/>
        <w:autoSpaceDN w:val="0"/>
        <w:adjustRightInd w:val="0"/>
        <w:spacing w:line="360" w:lineRule="auto"/>
        <w:ind w:rightChars="12" w:right="25"/>
        <w:jc w:val="left"/>
        <w:outlineLvl w:val="0"/>
        <w:rPr>
          <w:rFonts w:asciiTheme="minorEastAsia" w:eastAsiaTheme="minorEastAsia" w:hAnsiTheme="minorEastAsia" w:cs="宋体"/>
          <w:b/>
          <w:kern w:val="0"/>
          <w:sz w:val="28"/>
          <w:szCs w:val="32"/>
        </w:rPr>
      </w:pPr>
      <w:r>
        <w:rPr>
          <w:rFonts w:asciiTheme="minorEastAsia" w:eastAsiaTheme="minorEastAsia" w:hAnsiTheme="minorEastAsia" w:cs="宋体" w:hint="eastAsia"/>
          <w:b/>
          <w:kern w:val="0"/>
          <w:sz w:val="28"/>
          <w:szCs w:val="32"/>
        </w:rPr>
        <w:t>11.</w:t>
      </w:r>
      <w:r w:rsidRPr="00877A14">
        <w:rPr>
          <w:rFonts w:asciiTheme="minorEastAsia" w:eastAsiaTheme="minorEastAsia" w:hAnsiTheme="minorEastAsia" w:cs="宋体" w:hint="eastAsia"/>
          <w:b/>
          <w:kern w:val="0"/>
          <w:sz w:val="28"/>
          <w:szCs w:val="32"/>
        </w:rPr>
        <w:t>其他应予说明的事项</w:t>
      </w:r>
    </w:p>
    <w:p w14:paraId="697DC481" w14:textId="77777777" w:rsidR="00877A14" w:rsidRPr="00116A24" w:rsidRDefault="00877A14" w:rsidP="00116A24">
      <w:pPr>
        <w:spacing w:line="360" w:lineRule="auto"/>
        <w:ind w:firstLineChars="225" w:firstLine="540"/>
        <w:rPr>
          <w:rFonts w:asciiTheme="minorEastAsia" w:eastAsiaTheme="minorEastAsia" w:hAnsiTheme="minorEastAsia"/>
          <w:sz w:val="24"/>
          <w:szCs w:val="28"/>
        </w:rPr>
      </w:pPr>
      <w:r w:rsidRPr="00116A24">
        <w:rPr>
          <w:rFonts w:asciiTheme="minorEastAsia" w:eastAsiaTheme="minorEastAsia" w:hAnsiTheme="minorEastAsia" w:hint="eastAsia"/>
          <w:sz w:val="24"/>
          <w:szCs w:val="28"/>
        </w:rPr>
        <w:t>无。</w:t>
      </w:r>
    </w:p>
    <w:sectPr w:rsidR="00877A14" w:rsidRPr="00116A24" w:rsidSect="0040539E">
      <w:pgSz w:w="11906" w:h="16838"/>
      <w:pgMar w:top="1418" w:right="1134" w:bottom="879" w:left="1418" w:header="1418"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FBD9" w14:textId="77777777" w:rsidR="006C5407" w:rsidRDefault="006C5407" w:rsidP="006E4A2D">
      <w:r>
        <w:separator/>
      </w:r>
    </w:p>
  </w:endnote>
  <w:endnote w:type="continuationSeparator" w:id="0">
    <w:p w14:paraId="1CFDDFB3" w14:textId="77777777" w:rsidR="006C5407" w:rsidRDefault="006C5407" w:rsidP="006E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3D04" w14:textId="77777777" w:rsidR="006C5407" w:rsidRDefault="006C5407" w:rsidP="006E4A2D">
      <w:r>
        <w:separator/>
      </w:r>
    </w:p>
  </w:footnote>
  <w:footnote w:type="continuationSeparator" w:id="0">
    <w:p w14:paraId="272E3FA2" w14:textId="77777777" w:rsidR="006C5407" w:rsidRDefault="006C5407" w:rsidP="006E4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6CEA2025"/>
    <w:multiLevelType w:val="multilevel"/>
    <w:tmpl w:val="9E4A1F3C"/>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721D199C"/>
    <w:multiLevelType w:val="multilevel"/>
    <w:tmpl w:val="721D199C"/>
    <w:lvl w:ilvl="0">
      <w:start w:val="1"/>
      <w:numFmt w:val="japaneseCounting"/>
      <w:lvlText w:val="（%1）"/>
      <w:lvlJc w:val="left"/>
      <w:pPr>
        <w:tabs>
          <w:tab w:val="num" w:pos="1723"/>
        </w:tabs>
        <w:ind w:left="1723" w:hanging="1080"/>
      </w:pPr>
      <w:rPr>
        <w:rFonts w:hint="default"/>
      </w:rPr>
    </w:lvl>
    <w:lvl w:ilvl="1">
      <w:start w:val="1"/>
      <w:numFmt w:val="lowerLetter"/>
      <w:lvlText w:val="%2)"/>
      <w:lvlJc w:val="left"/>
      <w:pPr>
        <w:tabs>
          <w:tab w:val="num" w:pos="1483"/>
        </w:tabs>
        <w:ind w:left="1483" w:hanging="420"/>
      </w:pPr>
    </w:lvl>
    <w:lvl w:ilvl="2">
      <w:start w:val="1"/>
      <w:numFmt w:val="lowerRoman"/>
      <w:lvlText w:val="%3."/>
      <w:lvlJc w:val="right"/>
      <w:pPr>
        <w:tabs>
          <w:tab w:val="num" w:pos="1903"/>
        </w:tabs>
        <w:ind w:left="1903" w:hanging="420"/>
      </w:pPr>
    </w:lvl>
    <w:lvl w:ilvl="3">
      <w:start w:val="1"/>
      <w:numFmt w:val="decimal"/>
      <w:lvlText w:val="%4."/>
      <w:lvlJc w:val="left"/>
      <w:pPr>
        <w:tabs>
          <w:tab w:val="num" w:pos="2323"/>
        </w:tabs>
        <w:ind w:left="2323" w:hanging="420"/>
      </w:pPr>
    </w:lvl>
    <w:lvl w:ilvl="4">
      <w:start w:val="1"/>
      <w:numFmt w:val="lowerLetter"/>
      <w:lvlText w:val="%5)"/>
      <w:lvlJc w:val="left"/>
      <w:pPr>
        <w:tabs>
          <w:tab w:val="num" w:pos="2743"/>
        </w:tabs>
        <w:ind w:left="2743" w:hanging="420"/>
      </w:pPr>
    </w:lvl>
    <w:lvl w:ilvl="5">
      <w:start w:val="1"/>
      <w:numFmt w:val="lowerRoman"/>
      <w:lvlText w:val="%6."/>
      <w:lvlJc w:val="right"/>
      <w:pPr>
        <w:tabs>
          <w:tab w:val="num" w:pos="3163"/>
        </w:tabs>
        <w:ind w:left="3163" w:hanging="420"/>
      </w:pPr>
    </w:lvl>
    <w:lvl w:ilvl="6">
      <w:start w:val="1"/>
      <w:numFmt w:val="decimal"/>
      <w:lvlText w:val="%7."/>
      <w:lvlJc w:val="left"/>
      <w:pPr>
        <w:tabs>
          <w:tab w:val="num" w:pos="3583"/>
        </w:tabs>
        <w:ind w:left="3583" w:hanging="420"/>
      </w:pPr>
    </w:lvl>
    <w:lvl w:ilvl="7">
      <w:start w:val="1"/>
      <w:numFmt w:val="lowerLetter"/>
      <w:lvlText w:val="%8)"/>
      <w:lvlJc w:val="left"/>
      <w:pPr>
        <w:tabs>
          <w:tab w:val="num" w:pos="4003"/>
        </w:tabs>
        <w:ind w:left="4003" w:hanging="420"/>
      </w:pPr>
    </w:lvl>
    <w:lvl w:ilvl="8">
      <w:start w:val="1"/>
      <w:numFmt w:val="lowerRoman"/>
      <w:lvlText w:val="%9."/>
      <w:lvlJc w:val="right"/>
      <w:pPr>
        <w:tabs>
          <w:tab w:val="num" w:pos="4423"/>
        </w:tabs>
        <w:ind w:left="4423" w:hanging="420"/>
      </w:pPr>
    </w:lvl>
  </w:abstractNum>
  <w:num w:numId="1" w16cid:durableId="1813057790">
    <w:abstractNumId w:val="1"/>
  </w:num>
  <w:num w:numId="2" w16cid:durableId="1857229114">
    <w:abstractNumId w:val="2"/>
  </w:num>
  <w:num w:numId="3" w16cid:durableId="917665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F25C6"/>
    <w:rsid w:val="00073850"/>
    <w:rsid w:val="00083340"/>
    <w:rsid w:val="000A7DEE"/>
    <w:rsid w:val="0011052F"/>
    <w:rsid w:val="00113F0C"/>
    <w:rsid w:val="00116A24"/>
    <w:rsid w:val="00154FFB"/>
    <w:rsid w:val="00165801"/>
    <w:rsid w:val="00180BC2"/>
    <w:rsid w:val="001867BA"/>
    <w:rsid w:val="00190FCA"/>
    <w:rsid w:val="001D0E3B"/>
    <w:rsid w:val="001E6355"/>
    <w:rsid w:val="00210862"/>
    <w:rsid w:val="0024647C"/>
    <w:rsid w:val="00254E2C"/>
    <w:rsid w:val="00275BCD"/>
    <w:rsid w:val="00280CA8"/>
    <w:rsid w:val="002A3890"/>
    <w:rsid w:val="002C1738"/>
    <w:rsid w:val="002C3722"/>
    <w:rsid w:val="002E191D"/>
    <w:rsid w:val="002E3CD3"/>
    <w:rsid w:val="002F57EC"/>
    <w:rsid w:val="00301BD8"/>
    <w:rsid w:val="00330F21"/>
    <w:rsid w:val="00357316"/>
    <w:rsid w:val="00361D39"/>
    <w:rsid w:val="003821A7"/>
    <w:rsid w:val="0038382F"/>
    <w:rsid w:val="003A0AF7"/>
    <w:rsid w:val="003A5013"/>
    <w:rsid w:val="0040303A"/>
    <w:rsid w:val="0040539E"/>
    <w:rsid w:val="00414A9D"/>
    <w:rsid w:val="0045256C"/>
    <w:rsid w:val="00454805"/>
    <w:rsid w:val="004708BA"/>
    <w:rsid w:val="0047108B"/>
    <w:rsid w:val="004C3D5F"/>
    <w:rsid w:val="00515764"/>
    <w:rsid w:val="00535E6D"/>
    <w:rsid w:val="00537AD0"/>
    <w:rsid w:val="00556098"/>
    <w:rsid w:val="00560D55"/>
    <w:rsid w:val="00570B0F"/>
    <w:rsid w:val="005A0FED"/>
    <w:rsid w:val="005A69EE"/>
    <w:rsid w:val="005C75AD"/>
    <w:rsid w:val="00601A59"/>
    <w:rsid w:val="00624B9A"/>
    <w:rsid w:val="00624EC2"/>
    <w:rsid w:val="00635080"/>
    <w:rsid w:val="0064321C"/>
    <w:rsid w:val="00643403"/>
    <w:rsid w:val="00651493"/>
    <w:rsid w:val="006550DE"/>
    <w:rsid w:val="0066220D"/>
    <w:rsid w:val="006840AB"/>
    <w:rsid w:val="006A02AC"/>
    <w:rsid w:val="006C03ED"/>
    <w:rsid w:val="006C1BDE"/>
    <w:rsid w:val="006C5407"/>
    <w:rsid w:val="006E4A2D"/>
    <w:rsid w:val="006F3519"/>
    <w:rsid w:val="006F6CDF"/>
    <w:rsid w:val="0075155A"/>
    <w:rsid w:val="00761D92"/>
    <w:rsid w:val="007670B7"/>
    <w:rsid w:val="007758E6"/>
    <w:rsid w:val="007A1A6F"/>
    <w:rsid w:val="007C5183"/>
    <w:rsid w:val="007E587C"/>
    <w:rsid w:val="00812F0A"/>
    <w:rsid w:val="00813F6B"/>
    <w:rsid w:val="00820F5E"/>
    <w:rsid w:val="00847272"/>
    <w:rsid w:val="00877A14"/>
    <w:rsid w:val="008806DC"/>
    <w:rsid w:val="008A4CAC"/>
    <w:rsid w:val="008B0A6F"/>
    <w:rsid w:val="008D1C36"/>
    <w:rsid w:val="00902242"/>
    <w:rsid w:val="00903B9D"/>
    <w:rsid w:val="00907948"/>
    <w:rsid w:val="009237AC"/>
    <w:rsid w:val="00932BA2"/>
    <w:rsid w:val="00940601"/>
    <w:rsid w:val="009501FE"/>
    <w:rsid w:val="0095311A"/>
    <w:rsid w:val="00964C0A"/>
    <w:rsid w:val="00994D19"/>
    <w:rsid w:val="009A04B0"/>
    <w:rsid w:val="009A1CFC"/>
    <w:rsid w:val="009B60FC"/>
    <w:rsid w:val="009D5A8F"/>
    <w:rsid w:val="009F0762"/>
    <w:rsid w:val="00A05373"/>
    <w:rsid w:val="00A450BA"/>
    <w:rsid w:val="00A463E1"/>
    <w:rsid w:val="00AB4DF3"/>
    <w:rsid w:val="00AD40D1"/>
    <w:rsid w:val="00B62DB2"/>
    <w:rsid w:val="00B63024"/>
    <w:rsid w:val="00BB7540"/>
    <w:rsid w:val="00BD1853"/>
    <w:rsid w:val="00BF25C6"/>
    <w:rsid w:val="00C13BC0"/>
    <w:rsid w:val="00C6154C"/>
    <w:rsid w:val="00C80E24"/>
    <w:rsid w:val="00CA5BF2"/>
    <w:rsid w:val="00CC0A1A"/>
    <w:rsid w:val="00CE6C17"/>
    <w:rsid w:val="00CF43DE"/>
    <w:rsid w:val="00D3098C"/>
    <w:rsid w:val="00D378DE"/>
    <w:rsid w:val="00D570BB"/>
    <w:rsid w:val="00D91F1A"/>
    <w:rsid w:val="00DA72F4"/>
    <w:rsid w:val="00DA789A"/>
    <w:rsid w:val="00DB51A1"/>
    <w:rsid w:val="00DD0B5F"/>
    <w:rsid w:val="00E10B0E"/>
    <w:rsid w:val="00E129E0"/>
    <w:rsid w:val="00E24DBF"/>
    <w:rsid w:val="00E415FD"/>
    <w:rsid w:val="00E43ED5"/>
    <w:rsid w:val="00E55917"/>
    <w:rsid w:val="00E67F5D"/>
    <w:rsid w:val="00EA625D"/>
    <w:rsid w:val="00EB5E8A"/>
    <w:rsid w:val="00EB69A7"/>
    <w:rsid w:val="00EB6F35"/>
    <w:rsid w:val="00EE1CAB"/>
    <w:rsid w:val="00EF465A"/>
    <w:rsid w:val="00F1332D"/>
    <w:rsid w:val="00F30FB1"/>
    <w:rsid w:val="00F31965"/>
    <w:rsid w:val="00F35170"/>
    <w:rsid w:val="00F70CF1"/>
    <w:rsid w:val="00FB07E3"/>
    <w:rsid w:val="00FB254F"/>
    <w:rsid w:val="00FC14D0"/>
    <w:rsid w:val="00FD4B62"/>
    <w:rsid w:val="00FE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B2933"/>
  <w15:docId w15:val="{0336D97A-0385-49B3-9E8F-30EB6925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F25C6"/>
    <w:pPr>
      <w:widowControl w:val="0"/>
      <w:jc w:val="both"/>
    </w:pPr>
    <w:rPr>
      <w:kern w:val="2"/>
      <w:sz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styleId="aa">
    <w:name w:val="Table Grid"/>
    <w:basedOn w:val="a8"/>
    <w:rsid w:val="00BF25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封面标准名称"/>
    <w:rsid w:val="00BF25C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c">
    <w:name w:val="段"/>
    <w:link w:val="Char"/>
    <w:rsid w:val="00BF25C6"/>
    <w:pPr>
      <w:autoSpaceDE w:val="0"/>
      <w:autoSpaceDN w:val="0"/>
      <w:ind w:firstLineChars="200" w:firstLine="200"/>
      <w:jc w:val="both"/>
    </w:pPr>
    <w:rPr>
      <w:rFonts w:ascii="宋体"/>
      <w:sz w:val="21"/>
    </w:rPr>
  </w:style>
  <w:style w:type="character" w:customStyle="1" w:styleId="Char">
    <w:name w:val="段 Char"/>
    <w:link w:val="ac"/>
    <w:rsid w:val="00BF25C6"/>
    <w:rPr>
      <w:rFonts w:ascii="宋体"/>
      <w:sz w:val="21"/>
      <w:lang w:bidi="ar-SA"/>
    </w:rPr>
  </w:style>
  <w:style w:type="paragraph" w:customStyle="1" w:styleId="a">
    <w:name w:val="前言、引言标题"/>
    <w:next w:val="a6"/>
    <w:rsid w:val="002C3722"/>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6"/>
    <w:rsid w:val="002C3722"/>
    <w:pPr>
      <w:numPr>
        <w:ilvl w:val="1"/>
        <w:numId w:val="1"/>
      </w:numPr>
      <w:spacing w:before="50" w:after="50"/>
      <w:jc w:val="both"/>
      <w:outlineLvl w:val="1"/>
    </w:pPr>
    <w:rPr>
      <w:rFonts w:ascii="黑体" w:eastAsia="黑体"/>
      <w:sz w:val="21"/>
    </w:rPr>
  </w:style>
  <w:style w:type="paragraph" w:customStyle="1" w:styleId="a1">
    <w:name w:val="一级条标题"/>
    <w:basedOn w:val="a0"/>
    <w:next w:val="a6"/>
    <w:link w:val="Char0"/>
    <w:rsid w:val="002C3722"/>
    <w:pPr>
      <w:numPr>
        <w:ilvl w:val="2"/>
      </w:numPr>
      <w:spacing w:before="0" w:after="0"/>
      <w:outlineLvl w:val="2"/>
    </w:pPr>
  </w:style>
  <w:style w:type="paragraph" w:customStyle="1" w:styleId="a2">
    <w:name w:val="二级条标题"/>
    <w:basedOn w:val="a1"/>
    <w:next w:val="a6"/>
    <w:rsid w:val="002C3722"/>
    <w:pPr>
      <w:numPr>
        <w:ilvl w:val="3"/>
      </w:numPr>
      <w:outlineLvl w:val="3"/>
    </w:pPr>
  </w:style>
  <w:style w:type="paragraph" w:customStyle="1" w:styleId="a3">
    <w:name w:val="三级条标题"/>
    <w:basedOn w:val="a2"/>
    <w:next w:val="a6"/>
    <w:rsid w:val="002C3722"/>
    <w:pPr>
      <w:numPr>
        <w:ilvl w:val="4"/>
      </w:numPr>
      <w:tabs>
        <w:tab w:val="num" w:pos="360"/>
        <w:tab w:val="num" w:pos="675"/>
      </w:tabs>
      <w:ind w:left="675" w:hanging="360"/>
      <w:outlineLvl w:val="4"/>
    </w:pPr>
  </w:style>
  <w:style w:type="paragraph" w:customStyle="1" w:styleId="a4">
    <w:name w:val="四级条标题"/>
    <w:basedOn w:val="a3"/>
    <w:next w:val="a6"/>
    <w:rsid w:val="002C3722"/>
    <w:pPr>
      <w:numPr>
        <w:ilvl w:val="5"/>
      </w:numPr>
      <w:tabs>
        <w:tab w:val="num" w:pos="360"/>
        <w:tab w:val="num" w:pos="675"/>
      </w:tabs>
      <w:ind w:left="675" w:hanging="360"/>
      <w:outlineLvl w:val="5"/>
    </w:pPr>
  </w:style>
  <w:style w:type="paragraph" w:customStyle="1" w:styleId="a5">
    <w:name w:val="五级条标题"/>
    <w:basedOn w:val="a4"/>
    <w:next w:val="a6"/>
    <w:rsid w:val="002C3722"/>
    <w:pPr>
      <w:numPr>
        <w:ilvl w:val="6"/>
      </w:numPr>
      <w:tabs>
        <w:tab w:val="num" w:pos="360"/>
        <w:tab w:val="num" w:pos="675"/>
      </w:tabs>
      <w:ind w:left="675" w:hanging="360"/>
      <w:outlineLvl w:val="6"/>
    </w:pPr>
  </w:style>
  <w:style w:type="character" w:customStyle="1" w:styleId="Char0">
    <w:name w:val="一级条标题 Char"/>
    <w:link w:val="a1"/>
    <w:rsid w:val="002C3722"/>
    <w:rPr>
      <w:rFonts w:ascii="黑体" w:eastAsia="黑体"/>
      <w:sz w:val="21"/>
      <w:lang w:val="en-US" w:eastAsia="zh-CN" w:bidi="ar-SA"/>
    </w:rPr>
  </w:style>
  <w:style w:type="paragraph" w:styleId="ad">
    <w:name w:val="header"/>
    <w:basedOn w:val="a6"/>
    <w:link w:val="ae"/>
    <w:uiPriority w:val="99"/>
    <w:rsid w:val="006E4A2D"/>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uiPriority w:val="99"/>
    <w:rsid w:val="006E4A2D"/>
    <w:rPr>
      <w:kern w:val="2"/>
      <w:sz w:val="18"/>
      <w:szCs w:val="18"/>
    </w:rPr>
  </w:style>
  <w:style w:type="paragraph" w:styleId="af">
    <w:name w:val="footer"/>
    <w:basedOn w:val="a6"/>
    <w:link w:val="af0"/>
    <w:rsid w:val="006E4A2D"/>
    <w:pPr>
      <w:tabs>
        <w:tab w:val="center" w:pos="4153"/>
        <w:tab w:val="right" w:pos="8306"/>
      </w:tabs>
      <w:snapToGrid w:val="0"/>
      <w:jc w:val="left"/>
    </w:pPr>
    <w:rPr>
      <w:sz w:val="18"/>
      <w:szCs w:val="18"/>
    </w:rPr>
  </w:style>
  <w:style w:type="character" w:customStyle="1" w:styleId="af0">
    <w:name w:val="页脚 字符"/>
    <w:link w:val="af"/>
    <w:rsid w:val="006E4A2D"/>
    <w:rPr>
      <w:kern w:val="2"/>
      <w:sz w:val="18"/>
      <w:szCs w:val="18"/>
    </w:rPr>
  </w:style>
  <w:style w:type="paragraph" w:customStyle="1" w:styleId="af1">
    <w:name w:val="标准书眉_奇数页"/>
    <w:next w:val="a6"/>
    <w:rsid w:val="0040539E"/>
    <w:pPr>
      <w:tabs>
        <w:tab w:val="center" w:pos="4154"/>
        <w:tab w:val="right" w:pos="8306"/>
      </w:tabs>
      <w:spacing w:after="120"/>
      <w:jc w:val="right"/>
    </w:pPr>
    <w:rPr>
      <w:sz w:val="21"/>
      <w:szCs w:val="21"/>
    </w:rPr>
  </w:style>
  <w:style w:type="paragraph" w:customStyle="1" w:styleId="3">
    <w:name w:val="样式3"/>
    <w:basedOn w:val="a6"/>
    <w:rsid w:val="0040539E"/>
    <w:pPr>
      <w:ind w:firstLineChars="200" w:firstLine="200"/>
    </w:pPr>
    <w:rPr>
      <w:rFonts w:eastAsia="仿宋_GB2312"/>
      <w:sz w:val="32"/>
      <w:szCs w:val="24"/>
    </w:rPr>
  </w:style>
  <w:style w:type="paragraph" w:styleId="af2">
    <w:name w:val="Balloon Text"/>
    <w:basedOn w:val="a6"/>
    <w:link w:val="af3"/>
    <w:rsid w:val="00F1332D"/>
    <w:rPr>
      <w:sz w:val="18"/>
      <w:szCs w:val="18"/>
    </w:rPr>
  </w:style>
  <w:style w:type="character" w:customStyle="1" w:styleId="af3">
    <w:name w:val="批注框文本 字符"/>
    <w:basedOn w:val="a7"/>
    <w:link w:val="af2"/>
    <w:rsid w:val="00F1332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9143">
      <w:bodyDiv w:val="1"/>
      <w:marLeft w:val="0"/>
      <w:marRight w:val="0"/>
      <w:marTop w:val="0"/>
      <w:marBottom w:val="0"/>
      <w:divBdr>
        <w:top w:val="none" w:sz="0" w:space="0" w:color="auto"/>
        <w:left w:val="none" w:sz="0" w:space="0" w:color="auto"/>
        <w:bottom w:val="none" w:sz="0" w:space="0" w:color="auto"/>
        <w:right w:val="none" w:sz="0" w:space="0" w:color="auto"/>
      </w:divBdr>
    </w:div>
    <w:div w:id="48767298">
      <w:bodyDiv w:val="1"/>
      <w:marLeft w:val="0"/>
      <w:marRight w:val="0"/>
      <w:marTop w:val="0"/>
      <w:marBottom w:val="0"/>
      <w:divBdr>
        <w:top w:val="none" w:sz="0" w:space="0" w:color="auto"/>
        <w:left w:val="none" w:sz="0" w:space="0" w:color="auto"/>
        <w:bottom w:val="none" w:sz="0" w:space="0" w:color="auto"/>
        <w:right w:val="none" w:sz="0" w:space="0" w:color="auto"/>
      </w:divBdr>
    </w:div>
    <w:div w:id="115952549">
      <w:bodyDiv w:val="1"/>
      <w:marLeft w:val="0"/>
      <w:marRight w:val="0"/>
      <w:marTop w:val="0"/>
      <w:marBottom w:val="0"/>
      <w:divBdr>
        <w:top w:val="none" w:sz="0" w:space="0" w:color="auto"/>
        <w:left w:val="none" w:sz="0" w:space="0" w:color="auto"/>
        <w:bottom w:val="none" w:sz="0" w:space="0" w:color="auto"/>
        <w:right w:val="none" w:sz="0" w:space="0" w:color="auto"/>
      </w:divBdr>
    </w:div>
    <w:div w:id="690886389">
      <w:bodyDiv w:val="1"/>
      <w:marLeft w:val="0"/>
      <w:marRight w:val="0"/>
      <w:marTop w:val="0"/>
      <w:marBottom w:val="0"/>
      <w:divBdr>
        <w:top w:val="none" w:sz="0" w:space="0" w:color="auto"/>
        <w:left w:val="none" w:sz="0" w:space="0" w:color="auto"/>
        <w:bottom w:val="none" w:sz="0" w:space="0" w:color="auto"/>
        <w:right w:val="none" w:sz="0" w:space="0" w:color="auto"/>
      </w:divBdr>
    </w:div>
    <w:div w:id="691690072">
      <w:bodyDiv w:val="1"/>
      <w:marLeft w:val="0"/>
      <w:marRight w:val="0"/>
      <w:marTop w:val="0"/>
      <w:marBottom w:val="0"/>
      <w:divBdr>
        <w:top w:val="none" w:sz="0" w:space="0" w:color="auto"/>
        <w:left w:val="none" w:sz="0" w:space="0" w:color="auto"/>
        <w:bottom w:val="none" w:sz="0" w:space="0" w:color="auto"/>
        <w:right w:val="none" w:sz="0" w:space="0" w:color="auto"/>
      </w:divBdr>
    </w:div>
    <w:div w:id="791747047">
      <w:bodyDiv w:val="1"/>
      <w:marLeft w:val="0"/>
      <w:marRight w:val="0"/>
      <w:marTop w:val="0"/>
      <w:marBottom w:val="0"/>
      <w:divBdr>
        <w:top w:val="none" w:sz="0" w:space="0" w:color="auto"/>
        <w:left w:val="none" w:sz="0" w:space="0" w:color="auto"/>
        <w:bottom w:val="none" w:sz="0" w:space="0" w:color="auto"/>
        <w:right w:val="none" w:sz="0" w:space="0" w:color="auto"/>
      </w:divBdr>
    </w:div>
    <w:div w:id="851454995">
      <w:bodyDiv w:val="1"/>
      <w:marLeft w:val="0"/>
      <w:marRight w:val="0"/>
      <w:marTop w:val="0"/>
      <w:marBottom w:val="0"/>
      <w:divBdr>
        <w:top w:val="none" w:sz="0" w:space="0" w:color="auto"/>
        <w:left w:val="none" w:sz="0" w:space="0" w:color="auto"/>
        <w:bottom w:val="none" w:sz="0" w:space="0" w:color="auto"/>
        <w:right w:val="none" w:sz="0" w:space="0" w:color="auto"/>
      </w:divBdr>
    </w:div>
    <w:div w:id="1029258662">
      <w:bodyDiv w:val="1"/>
      <w:marLeft w:val="0"/>
      <w:marRight w:val="0"/>
      <w:marTop w:val="0"/>
      <w:marBottom w:val="0"/>
      <w:divBdr>
        <w:top w:val="none" w:sz="0" w:space="0" w:color="auto"/>
        <w:left w:val="none" w:sz="0" w:space="0" w:color="auto"/>
        <w:bottom w:val="none" w:sz="0" w:space="0" w:color="auto"/>
        <w:right w:val="none" w:sz="0" w:space="0" w:color="auto"/>
      </w:divBdr>
    </w:div>
    <w:div w:id="1553619005">
      <w:bodyDiv w:val="1"/>
      <w:marLeft w:val="0"/>
      <w:marRight w:val="0"/>
      <w:marTop w:val="0"/>
      <w:marBottom w:val="0"/>
      <w:divBdr>
        <w:top w:val="none" w:sz="0" w:space="0" w:color="auto"/>
        <w:left w:val="none" w:sz="0" w:space="0" w:color="auto"/>
        <w:bottom w:val="none" w:sz="0" w:space="0" w:color="auto"/>
        <w:right w:val="none" w:sz="0" w:space="0" w:color="auto"/>
      </w:divBdr>
    </w:div>
    <w:div w:id="1746292851">
      <w:bodyDiv w:val="1"/>
      <w:marLeft w:val="0"/>
      <w:marRight w:val="0"/>
      <w:marTop w:val="0"/>
      <w:marBottom w:val="0"/>
      <w:divBdr>
        <w:top w:val="none" w:sz="0" w:space="0" w:color="auto"/>
        <w:left w:val="none" w:sz="0" w:space="0" w:color="auto"/>
        <w:bottom w:val="none" w:sz="0" w:space="0" w:color="auto"/>
        <w:right w:val="none" w:sz="0" w:space="0" w:color="auto"/>
      </w:divBdr>
    </w:div>
    <w:div w:id="19244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219.239.107.155:8080/TaskBook.aspx?id=QBCPZT0952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6</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Links>
    <vt:vector size="6" baseType="variant">
      <vt:variant>
        <vt:i4>983042</vt:i4>
      </vt:variant>
      <vt:variant>
        <vt:i4>0</vt:i4>
      </vt:variant>
      <vt:variant>
        <vt:i4>0</vt:i4>
      </vt:variant>
      <vt:variant>
        <vt:i4>5</vt:i4>
      </vt:variant>
      <vt:variant>
        <vt:lpwstr>http://baike.baidu.com/view/5350.htm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（五）废弃塑料制品 环境模拟物中双酚A特定迁移量的测定  高效液相色谱法</dc:title>
  <dc:creator>X</dc:creator>
  <cp:lastModifiedBy>李 晓辉</cp:lastModifiedBy>
  <cp:revision>12</cp:revision>
  <dcterms:created xsi:type="dcterms:W3CDTF">2021-07-22T08:10:00Z</dcterms:created>
  <dcterms:modified xsi:type="dcterms:W3CDTF">2022-08-05T08:44:00Z</dcterms:modified>
</cp:coreProperties>
</file>