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E09F9" w14:textId="77777777" w:rsidR="00FA0944" w:rsidRDefault="00FA0944">
      <w:pPr>
        <w:pStyle w:val="aff4"/>
        <w:rPr>
          <w:color w:val="000000"/>
        </w:rPr>
      </w:pPr>
    </w:p>
    <w:p w14:paraId="59016AB9" w14:textId="77777777" w:rsidR="00FA0944" w:rsidRDefault="00000000">
      <w:pPr>
        <w:pStyle w:val="aff4"/>
        <w:rPr>
          <w:color w:val="000000"/>
        </w:rPr>
      </w:pPr>
      <w:r>
        <w:rPr>
          <w:noProof/>
          <w:color w:val="000000"/>
        </w:rPr>
        <mc:AlternateContent>
          <mc:Choice Requires="wps">
            <w:drawing>
              <wp:anchor distT="0" distB="0" distL="0" distR="0" simplePos="0" relativeHeight="12" behindDoc="0" locked="0" layoutInCell="1" allowOverlap="1" wp14:anchorId="7002848C" wp14:editId="2BA3D7FC">
                <wp:simplePos x="0" y="0"/>
                <wp:positionH relativeFrom="column">
                  <wp:posOffset>19685</wp:posOffset>
                </wp:positionH>
                <wp:positionV relativeFrom="paragraph">
                  <wp:posOffset>8453755</wp:posOffset>
                </wp:positionV>
                <wp:extent cx="6121400" cy="0"/>
                <wp:effectExtent l="0" t="0" r="0" b="0"/>
                <wp:wrapNone/>
                <wp:docPr id="1026"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0" cy="0"/>
                        </a:xfrm>
                        <a:prstGeom prst="line">
                          <a:avLst/>
                        </a:prstGeom>
                        <a:ln w="12700"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line id="1026" filled="f" stroked="t" from="1.5500001pt,665.65pt" to="483.55pt,665.65pt" style="position:absolute;z-index:12;mso-position-horizontal-relative:text;mso-position-vertical-relative:text;mso-width-relative:page;mso-height-relative:page;mso-wrap-distance-left:0.0pt;mso-wrap-distance-right:0.0pt;visibility:visible;">
                <v:stroke weight="1.0pt"/>
                <v:fill/>
              </v:line>
            </w:pict>
          </mc:Fallback>
        </mc:AlternateContent>
      </w:r>
      <w:r>
        <w:rPr>
          <w:noProof/>
          <w:color w:val="000000"/>
        </w:rPr>
        <mc:AlternateContent>
          <mc:Choice Requires="wps">
            <w:drawing>
              <wp:anchor distT="0" distB="0" distL="0" distR="0" simplePos="0" relativeHeight="9" behindDoc="0" locked="1" layoutInCell="1" allowOverlap="1" wp14:anchorId="47A1B264" wp14:editId="214589FC">
                <wp:simplePos x="0" y="0"/>
                <wp:positionH relativeFrom="margin">
                  <wp:posOffset>0</wp:posOffset>
                </wp:positionH>
                <wp:positionV relativeFrom="margin">
                  <wp:posOffset>8618220</wp:posOffset>
                </wp:positionV>
                <wp:extent cx="6120130" cy="693418"/>
                <wp:effectExtent l="0" t="3810" r="0" b="0"/>
                <wp:wrapNone/>
                <wp:docPr id="1027" name="fmFrame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693418"/>
                        </a:xfrm>
                        <a:prstGeom prst="rect">
                          <a:avLst/>
                        </a:prstGeom>
                        <a:solidFill>
                          <a:srgbClr val="FFFFFF"/>
                        </a:solidFill>
                        <a:ln>
                          <a:noFill/>
                        </a:ln>
                      </wps:spPr>
                      <wps:txbx>
                        <w:txbxContent>
                          <w:p w14:paraId="2B043125" w14:textId="77777777" w:rsidR="00FA0944" w:rsidRDefault="00000000">
                            <w:pPr>
                              <w:pStyle w:val="affc"/>
                            </w:pPr>
                            <w:r>
                              <w:rPr>
                                <w:rFonts w:hint="eastAsia"/>
                              </w:rPr>
                              <w:t xml:space="preserve">中华人民共和国工业和信息化部 </w:t>
                            </w:r>
                            <w:r>
                              <w:rPr>
                                <w:rStyle w:val="af8"/>
                                <w:rFonts w:hint="eastAsia"/>
                              </w:rPr>
                              <w:t>发布</w:t>
                            </w:r>
                          </w:p>
                          <w:p w14:paraId="5ADE2F22" w14:textId="77777777" w:rsidR="00FA0944" w:rsidRDefault="00FA0944">
                            <w:pPr>
                              <w:pStyle w:val="affc"/>
                            </w:pPr>
                          </w:p>
                        </w:txbxContent>
                      </wps:txbx>
                      <wps:bodyPr vert="horz" wrap="square" lIns="0" tIns="0" rIns="0" bIns="0" anchor="t" upright="1">
                        <a:prstTxWarp prst="textNoShape">
                          <a:avLst/>
                        </a:prstTxWarp>
                        <a:noAutofit/>
                      </wps:bodyPr>
                    </wps:wsp>
                  </a:graphicData>
                </a:graphic>
              </wp:anchor>
            </w:drawing>
          </mc:Choice>
          <mc:Fallback>
            <w:pict>
              <v:rect w14:anchorId="47A1B264" id="fmFrame7" o:spid="_x0000_s1026" style="position:absolute;left:0;text-align:left;margin-left:0;margin-top:678.6pt;width:481.9pt;height:54.6pt;z-index:9;visibility:visible;mso-wrap-style:square;mso-wrap-distance-left:0;mso-wrap-distance-top:0;mso-wrap-distance-right:0;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" stroked="f">
                <v:textbox inset="0,0,0,0">
                  <w:txbxContent>
                    <w:p w14:paraId="2B043125" w14:textId="77777777" w:rsidR="00FA0944" w:rsidRDefault="00000000">
                      <w:pPr>
                        <w:pStyle w:val="affc"/>
                      </w:pPr>
                      <w:r>
                        <w:rPr>
                          <w:rFonts w:hint="eastAsia"/>
                        </w:rPr>
                        <w:t xml:space="preserve">中华人民共和国工业和信息化部 </w:t>
                      </w:r>
                      <w:r>
                        <w:rPr>
                          <w:rStyle w:val="af8"/>
                          <w:rFonts w:hint="eastAsia"/>
                        </w:rPr>
                        <w:t>发布</w:t>
                      </w:r>
                    </w:p>
                    <w:p w14:paraId="5ADE2F22" w14:textId="77777777" w:rsidR="00FA0944" w:rsidRDefault="00FA0944">
                      <w:pPr>
                        <w:pStyle w:val="affc"/>
                      </w:pPr>
                    </w:p>
                  </w:txbxContent>
                </v:textbox>
                <w10:wrap anchorx="margin" anchory="margin"/>
                <w10:anchorlock/>
              </v:rect>
            </w:pict>
          </mc:Fallback>
        </mc:AlternateContent>
      </w:r>
      <w:r>
        <w:rPr>
          <w:noProof/>
          <w:color w:val="000000"/>
        </w:rPr>
        <mc:AlternateContent>
          <mc:Choice Requires="wps">
            <w:drawing>
              <wp:anchor distT="0" distB="0" distL="0" distR="0" simplePos="0" relativeHeight="8" behindDoc="0" locked="1" layoutInCell="1" allowOverlap="1" wp14:anchorId="03CB525B" wp14:editId="2A231D50">
                <wp:simplePos x="0" y="0"/>
                <wp:positionH relativeFrom="margin">
                  <wp:posOffset>4100830</wp:posOffset>
                </wp:positionH>
                <wp:positionV relativeFrom="margin">
                  <wp:posOffset>8291829</wp:posOffset>
                </wp:positionV>
                <wp:extent cx="2019298" cy="312418"/>
                <wp:effectExtent l="635" t="1270" r="0" b="635"/>
                <wp:wrapNone/>
                <wp:docPr id="1028" name="fmFrame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9298" cy="312418"/>
                        </a:xfrm>
                        <a:prstGeom prst="rect">
                          <a:avLst/>
                        </a:prstGeom>
                        <a:solidFill>
                          <a:srgbClr val="FFFFFF"/>
                        </a:solidFill>
                        <a:ln>
                          <a:noFill/>
                        </a:ln>
                      </wps:spPr>
                      <wps:txbx>
                        <w:txbxContent>
                          <w:p w14:paraId="0D93D000" w14:textId="77777777" w:rsidR="00FA0944" w:rsidRDefault="00000000">
                            <w:pPr>
                              <w:pStyle w:val="afff0"/>
                            </w:pPr>
                            <w:r>
                              <w:rPr>
                                <w:rFonts w:hint="eastAsia"/>
                              </w:rPr>
                              <w:t>2</w:t>
                            </w:r>
                            <w:r>
                              <w:t>02</w:t>
                            </w:r>
                            <w:r>
                              <w:rPr>
                                <w:rFonts w:hint="eastAsia"/>
                              </w:rPr>
                              <w:t>*</w:t>
                            </w:r>
                            <w:r>
                              <w:t>-</w:t>
                            </w:r>
                            <w:r>
                              <w:rPr>
                                <w:rFonts w:hint="eastAsia"/>
                              </w:rPr>
                              <w:t>**</w:t>
                            </w:r>
                            <w:r>
                              <w:t>-</w:t>
                            </w:r>
                            <w:r>
                              <w:rPr>
                                <w:rFonts w:hint="eastAsia"/>
                              </w:rPr>
                              <w:t>**</w:t>
                            </w:r>
                            <w:r>
                              <w:rPr>
                                <w:rFonts w:hint="eastAsia"/>
                              </w:rPr>
                              <w:t>实施</w:t>
                            </w:r>
                          </w:p>
                        </w:txbxContent>
                      </wps:txbx>
                      <wps:bodyPr vert="horz" wrap="square" lIns="0" tIns="0" rIns="0" bIns="0" anchor="t" upright="1">
                        <a:prstTxWarp prst="textNoShape">
                          <a:avLst/>
                        </a:prstTxWarp>
                        <a:noAutofit/>
                      </wps:bodyPr>
                    </wps:wsp>
                  </a:graphicData>
                </a:graphic>
              </wp:anchor>
            </w:drawing>
          </mc:Choice>
          <mc:Fallback>
            <w:pict>
              <v:rect w14:anchorId="03CB525B" id="fmFrame6" o:spid="_x0000_s1027" style="position:absolute;left:0;text-align:left;margin-left:322.9pt;margin-top:652.9pt;width:159pt;height:24.6pt;z-index:8;visibility:visible;mso-wrap-style:square;mso-wrap-distance-left:0;mso-wrap-distance-top:0;mso-wrap-distance-right:0;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" stroked="f">
                <v:textbox inset="0,0,0,0">
                  <w:txbxContent>
                    <w:p w14:paraId="0D93D000" w14:textId="77777777" w:rsidR="00FA0944" w:rsidRDefault="00000000">
                      <w:pPr>
                        <w:pStyle w:val="afff0"/>
                      </w:pPr>
                      <w:r>
                        <w:rPr>
                          <w:rFonts w:hint="eastAsia"/>
                        </w:rPr>
                        <w:t>2</w:t>
                      </w:r>
                      <w:r>
                        <w:t>02</w:t>
                      </w:r>
                      <w:r>
                        <w:rPr>
                          <w:rFonts w:hint="eastAsia"/>
                        </w:rPr>
                        <w:t>*</w:t>
                      </w:r>
                      <w:r>
                        <w:t>-</w:t>
                      </w:r>
                      <w:r>
                        <w:rPr>
                          <w:rFonts w:hint="eastAsia"/>
                        </w:rPr>
                        <w:t>**</w:t>
                      </w:r>
                      <w:r>
                        <w:t>-</w:t>
                      </w:r>
                      <w:r>
                        <w:rPr>
                          <w:rFonts w:hint="eastAsia"/>
                        </w:rPr>
                        <w:t>**</w:t>
                      </w:r>
                      <w:r>
                        <w:rPr>
                          <w:rFonts w:hint="eastAsia"/>
                        </w:rPr>
                        <w:t>实施</w:t>
                      </w:r>
                    </w:p>
                  </w:txbxContent>
                </v:textbox>
                <w10:wrap anchorx="margin" anchory="margin"/>
                <w10:anchorlock/>
              </v:rect>
            </w:pict>
          </mc:Fallback>
        </mc:AlternateContent>
      </w:r>
      <w:r>
        <w:rPr>
          <w:noProof/>
          <w:color w:val="000000"/>
        </w:rPr>
        <mc:AlternateContent>
          <mc:Choice Requires="wps">
            <w:drawing>
              <wp:anchor distT="0" distB="0" distL="0" distR="0" simplePos="0" relativeHeight="7" behindDoc="0" locked="1" layoutInCell="1" allowOverlap="1" wp14:anchorId="20285F01" wp14:editId="47D17424">
                <wp:simplePos x="0" y="0"/>
                <wp:positionH relativeFrom="margin">
                  <wp:posOffset>0</wp:posOffset>
                </wp:positionH>
                <wp:positionV relativeFrom="margin">
                  <wp:posOffset>8291829</wp:posOffset>
                </wp:positionV>
                <wp:extent cx="2019299" cy="312418"/>
                <wp:effectExtent l="0" t="1270" r="4445" b="635"/>
                <wp:wrapNone/>
                <wp:docPr id="1029" name="fmFram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9299" cy="312418"/>
                        </a:xfrm>
                        <a:prstGeom prst="rect">
                          <a:avLst/>
                        </a:prstGeom>
                        <a:solidFill>
                          <a:srgbClr val="FFFFFF"/>
                        </a:solidFill>
                        <a:ln>
                          <a:noFill/>
                        </a:ln>
                      </wps:spPr>
                      <wps:txbx>
                        <w:txbxContent>
                          <w:p w14:paraId="4C92FDFB" w14:textId="77777777" w:rsidR="00FA0944" w:rsidRDefault="00000000">
                            <w:pPr>
                              <w:pStyle w:val="aff7"/>
                            </w:pPr>
                            <w:r>
                              <w:rPr>
                                <w:rFonts w:hint="eastAsia"/>
                              </w:rPr>
                              <w:t>2</w:t>
                            </w:r>
                            <w:r>
                              <w:t>02</w:t>
                            </w:r>
                            <w:r>
                              <w:rPr>
                                <w:rFonts w:hint="eastAsia"/>
                              </w:rPr>
                              <w:t>*</w:t>
                            </w:r>
                            <w:r>
                              <w:t>-</w:t>
                            </w:r>
                            <w:r>
                              <w:rPr>
                                <w:rFonts w:hint="eastAsia"/>
                              </w:rPr>
                              <w:t>**</w:t>
                            </w:r>
                            <w:r>
                              <w:t>-</w:t>
                            </w:r>
                            <w:r>
                              <w:rPr>
                                <w:rFonts w:hint="eastAsia"/>
                              </w:rPr>
                              <w:t>**</w:t>
                            </w:r>
                            <w:r>
                              <w:rPr>
                                <w:rFonts w:hint="eastAsia"/>
                              </w:rPr>
                              <w:t>发布</w:t>
                            </w:r>
                          </w:p>
                        </w:txbxContent>
                      </wps:txbx>
                      <wps:bodyPr vert="horz" wrap="square" lIns="0" tIns="0" rIns="0" bIns="0" anchor="t" upright="1">
                        <a:prstTxWarp prst="textNoShape">
                          <a:avLst/>
                        </a:prstTxWarp>
                        <a:noAutofit/>
                      </wps:bodyPr>
                    </wps:wsp>
                  </a:graphicData>
                </a:graphic>
              </wp:anchor>
            </w:drawing>
          </mc:Choice>
          <mc:Fallback>
            <w:pict>
              <v:rect w14:anchorId="20285F01" id="fmFrame5" o:spid="_x0000_s1028" style="position:absolute;left:0;text-align:left;margin-left:0;margin-top:652.9pt;width:159pt;height:24.6pt;z-index:7;visibility:visible;mso-wrap-style:square;mso-wrap-distance-left:0;mso-wrap-distance-top:0;mso-wrap-distance-right:0;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" stroked="f">
                <v:textbox inset="0,0,0,0">
                  <w:txbxContent>
                    <w:p w14:paraId="4C92FDFB" w14:textId="77777777" w:rsidR="00FA0944" w:rsidRDefault="00000000">
                      <w:pPr>
                        <w:pStyle w:val="aff7"/>
                      </w:pPr>
                      <w:r>
                        <w:rPr>
                          <w:rFonts w:hint="eastAsia"/>
                        </w:rPr>
                        <w:t>2</w:t>
                      </w:r>
                      <w:r>
                        <w:t>02</w:t>
                      </w:r>
                      <w:r>
                        <w:rPr>
                          <w:rFonts w:hint="eastAsia"/>
                        </w:rPr>
                        <w:t>*</w:t>
                      </w:r>
                      <w:r>
                        <w:t>-</w:t>
                      </w:r>
                      <w:r>
                        <w:rPr>
                          <w:rFonts w:hint="eastAsia"/>
                        </w:rPr>
                        <w:t>**</w:t>
                      </w:r>
                      <w:r>
                        <w:t>-</w:t>
                      </w:r>
                      <w:r>
                        <w:rPr>
                          <w:rFonts w:hint="eastAsia"/>
                        </w:rPr>
                        <w:t>**</w:t>
                      </w:r>
                      <w:r>
                        <w:rPr>
                          <w:rFonts w:hint="eastAsia"/>
                        </w:rPr>
                        <w:t>发布</w:t>
                      </w:r>
                    </w:p>
                  </w:txbxContent>
                </v:textbox>
                <w10:wrap anchorx="margin" anchory="margin"/>
                <w10:anchorlock/>
              </v:rect>
            </w:pict>
          </mc:Fallback>
        </mc:AlternateContent>
      </w:r>
      <w:r>
        <w:rPr>
          <w:noProof/>
          <w:color w:val="000000"/>
        </w:rPr>
        <mc:AlternateContent>
          <mc:Choice Requires="wps">
            <w:drawing>
              <wp:anchor distT="0" distB="0" distL="0" distR="0" simplePos="0" relativeHeight="6" behindDoc="0" locked="1" layoutInCell="1" allowOverlap="1" wp14:anchorId="49616D8F" wp14:editId="39B4D0AE">
                <wp:simplePos x="0" y="0"/>
                <wp:positionH relativeFrom="margin">
                  <wp:posOffset>0</wp:posOffset>
                </wp:positionH>
                <wp:positionV relativeFrom="margin">
                  <wp:posOffset>3169920</wp:posOffset>
                </wp:positionV>
                <wp:extent cx="5969000" cy="4681220"/>
                <wp:effectExtent l="0" t="3810" r="0" b="1270"/>
                <wp:wrapNone/>
                <wp:docPr id="1030" name="fmFrame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69000" cy="4681220"/>
                        </a:xfrm>
                        <a:prstGeom prst="rect">
                          <a:avLst/>
                        </a:prstGeom>
                        <a:solidFill>
                          <a:srgbClr val="FFFFFF"/>
                        </a:solidFill>
                        <a:ln>
                          <a:noFill/>
                        </a:ln>
                      </wps:spPr>
                      <wps:txbx>
                        <w:txbxContent>
                          <w:p w14:paraId="6263CAA9" w14:textId="77777777" w:rsidR="00FA0944" w:rsidRDefault="00000000">
                            <w:pPr>
                              <w:pStyle w:val="aff1"/>
                            </w:pPr>
                            <w:r>
                              <w:rPr>
                                <w:rFonts w:hint="eastAsia"/>
                              </w:rPr>
                              <w:t>防串染洗衣剂（片）</w:t>
                            </w:r>
                          </w:p>
                          <w:p w14:paraId="2962906F" w14:textId="77777777" w:rsidR="00FA0944" w:rsidRDefault="00000000">
                            <w:pPr>
                              <w:pStyle w:val="affb"/>
                              <w:ind w:firstLineChars="900" w:firstLine="2520"/>
                              <w:jc w:val="both"/>
                              <w:rPr>
                                <w:rFonts w:ascii="Times New Roman"/>
                                <w:sz w:val="28"/>
                                <w:szCs w:val="21"/>
                              </w:rPr>
                            </w:pPr>
                            <w:r>
                              <w:rPr>
                                <w:rFonts w:ascii="Times New Roman" w:hint="eastAsia"/>
                                <w:sz w:val="28"/>
                                <w:szCs w:val="21"/>
                              </w:rPr>
                              <w:t>Color-guard laundry detergent (sheet)</w:t>
                            </w:r>
                          </w:p>
                          <w:p w14:paraId="454BC066" w14:textId="77777777" w:rsidR="00FA0944" w:rsidRDefault="00FA0944">
                            <w:pPr>
                              <w:pStyle w:val="affb"/>
                            </w:pPr>
                          </w:p>
                          <w:p w14:paraId="0620ED3D" w14:textId="77777777" w:rsidR="00FA0944" w:rsidRDefault="00000000">
                            <w:pPr>
                              <w:pStyle w:val="affd"/>
                              <w:rPr>
                                <w:sz w:val="28"/>
                                <w:szCs w:val="24"/>
                              </w:rPr>
                            </w:pPr>
                            <w:r>
                              <w:rPr>
                                <w:rFonts w:hint="eastAsia"/>
                                <w:sz w:val="28"/>
                                <w:szCs w:val="24"/>
                              </w:rPr>
                              <w:t>(送审稿)</w:t>
                            </w:r>
                          </w:p>
                        </w:txbxContent>
                      </wps:txbx>
                      <wps:bodyPr vert="horz" wrap="square" lIns="0" tIns="0" rIns="0" bIns="0" anchor="t" upright="1">
                        <a:prstTxWarp prst="textNoShape">
                          <a:avLst/>
                        </a:prstTxWarp>
                        <a:noAutofit/>
                      </wps:bodyPr>
                    </wps:wsp>
                  </a:graphicData>
                </a:graphic>
              </wp:anchor>
            </w:drawing>
          </mc:Choice>
          <mc:Fallback>
            <w:pict>
              <v:rect w14:anchorId="49616D8F" id="fmFrame4" o:spid="_x0000_s1029" style="position:absolute;left:0;text-align:left;margin-left:0;margin-top:249.6pt;width:470pt;height:368.6pt;z-index:6;visibility:visible;mso-wrap-style:square;mso-wrap-distance-left:0;mso-wrap-distance-top:0;mso-wrap-distance-right:0;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" stroked="f">
                <v:textbox inset="0,0,0,0">
                  <w:txbxContent>
                    <w:p w14:paraId="6263CAA9" w14:textId="77777777" w:rsidR="00FA0944" w:rsidRDefault="00000000">
                      <w:pPr>
                        <w:pStyle w:val="aff1"/>
                      </w:pPr>
                      <w:r>
                        <w:rPr>
                          <w:rFonts w:hint="eastAsia"/>
                        </w:rPr>
                        <w:t>防串染洗衣剂（片）</w:t>
                      </w:r>
                    </w:p>
                    <w:p w14:paraId="2962906F" w14:textId="77777777" w:rsidR="00FA0944" w:rsidRDefault="00000000">
                      <w:pPr>
                        <w:pStyle w:val="affb"/>
                        <w:ind w:firstLineChars="900" w:firstLine="2520"/>
                        <w:jc w:val="both"/>
                        <w:rPr>
                          <w:rFonts w:ascii="Times New Roman"/>
                          <w:sz w:val="28"/>
                          <w:szCs w:val="21"/>
                        </w:rPr>
                      </w:pPr>
                      <w:r>
                        <w:rPr>
                          <w:rFonts w:ascii="Times New Roman" w:hint="eastAsia"/>
                          <w:sz w:val="28"/>
                          <w:szCs w:val="21"/>
                        </w:rPr>
                        <w:t>Color-guard laundry detergent (sheet)</w:t>
                      </w:r>
                    </w:p>
                    <w:p w14:paraId="454BC066" w14:textId="77777777" w:rsidR="00FA0944" w:rsidRDefault="00FA0944">
                      <w:pPr>
                        <w:pStyle w:val="affb"/>
                      </w:pPr>
                    </w:p>
                    <w:p w14:paraId="0620ED3D" w14:textId="77777777" w:rsidR="00FA0944" w:rsidRDefault="00000000">
                      <w:pPr>
                        <w:pStyle w:val="affd"/>
                        <w:rPr>
                          <w:sz w:val="28"/>
                          <w:szCs w:val="24"/>
                        </w:rPr>
                      </w:pPr>
                      <w:r>
                        <w:rPr>
                          <w:rFonts w:hint="eastAsia"/>
                          <w:sz w:val="28"/>
                          <w:szCs w:val="24"/>
                        </w:rPr>
                        <w:t>(送审稿)</w:t>
                      </w:r>
                    </w:p>
                  </w:txbxContent>
                </v:textbox>
                <w10:wrap anchorx="margin" anchory="margin"/>
                <w10:anchorlock/>
              </v:rect>
            </w:pict>
          </mc:Fallback>
        </mc:AlternateContent>
      </w:r>
      <w:r>
        <w:rPr>
          <w:noProof/>
          <w:color w:val="000000"/>
        </w:rPr>
        <mc:AlternateContent>
          <mc:Choice Requires="wps">
            <w:drawing>
              <wp:anchor distT="0" distB="0" distL="0" distR="0" simplePos="0" relativeHeight="5" behindDoc="0" locked="1" layoutInCell="1" allowOverlap="1" wp14:anchorId="68B672DC" wp14:editId="3A613EFC">
                <wp:simplePos x="0" y="0"/>
                <wp:positionH relativeFrom="margin">
                  <wp:posOffset>0</wp:posOffset>
                </wp:positionH>
                <wp:positionV relativeFrom="margin">
                  <wp:posOffset>1401445</wp:posOffset>
                </wp:positionV>
                <wp:extent cx="5802630" cy="860425"/>
                <wp:effectExtent l="0" t="0" r="2540" b="0"/>
                <wp:wrapNone/>
                <wp:docPr id="1031" name="fmFrame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2630" cy="860425"/>
                        </a:xfrm>
                        <a:prstGeom prst="rect">
                          <a:avLst/>
                        </a:prstGeom>
                        <a:solidFill>
                          <a:srgbClr val="FFFFFF"/>
                        </a:solidFill>
                        <a:ln>
                          <a:noFill/>
                        </a:ln>
                      </wps:spPr>
                      <wps:txbx>
                        <w:txbxContent>
                          <w:p w14:paraId="20F9D897" w14:textId="77777777" w:rsidR="00FA0944" w:rsidRDefault="00000000">
                            <w:pPr>
                              <w:pStyle w:val="20"/>
                            </w:pPr>
                            <w:r>
                              <w:t>QB/T</w:t>
                            </w:r>
                            <w:r>
                              <w:rPr>
                                <w:rFonts w:hint="eastAsia"/>
                              </w:rPr>
                              <w:t xml:space="preserve"> ****</w:t>
                            </w:r>
                            <w:r>
                              <w:t>—202</w:t>
                            </w:r>
                            <w:r>
                              <w:rPr>
                                <w:rFonts w:hint="eastAsia"/>
                              </w:rPr>
                              <w:t>*</w:t>
                            </w:r>
                          </w:p>
                        </w:txbxContent>
                      </wps:txbx>
                      <wps:bodyPr vert="horz" wrap="square" lIns="0" tIns="0" rIns="0" bIns="0" anchor="t" upright="1">
                        <a:prstTxWarp prst="textNoShape">
                          <a:avLst/>
                        </a:prstTxWarp>
                        <a:noAutofit/>
                      </wps:bodyPr>
                    </wps:wsp>
                  </a:graphicData>
                </a:graphic>
              </wp:anchor>
            </w:drawing>
          </mc:Choice>
          <mc:Fallback>
            <w:pict>
              <v:rect w14:anchorId="68B672DC" id="fmFrame3" o:spid="_x0000_s1030" style="position:absolute;left:0;text-align:left;margin-left:0;margin-top:110.35pt;width:456.9pt;height:67.75pt;z-index:5;visibility:visible;mso-wrap-style:square;mso-wrap-distance-left:0;mso-wrap-distance-top:0;mso-wrap-distance-right:0;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" stroked="f">
                <v:textbox inset="0,0,0,0">
                  <w:txbxContent>
                    <w:p w14:paraId="20F9D897" w14:textId="77777777" w:rsidR="00FA0944" w:rsidRDefault="00000000">
                      <w:pPr>
                        <w:pStyle w:val="20"/>
                      </w:pPr>
                      <w:r>
                        <w:t>QB/T</w:t>
                      </w:r>
                      <w:r>
                        <w:rPr>
                          <w:rFonts w:hint="eastAsia"/>
                        </w:rPr>
                        <w:t xml:space="preserve"> ****</w:t>
                      </w:r>
                      <w:r>
                        <w:t>—202</w:t>
                      </w:r>
                      <w:r>
                        <w:rPr>
                          <w:rFonts w:hint="eastAsia"/>
                        </w:rPr>
                        <w:t>*</w:t>
                      </w:r>
                    </w:p>
                  </w:txbxContent>
                </v:textbox>
                <w10:wrap anchorx="margin" anchory="margin"/>
                <w10:anchorlock/>
              </v:rect>
            </w:pict>
          </mc:Fallback>
        </mc:AlternateContent>
      </w:r>
      <w:r>
        <w:rPr>
          <w:noProof/>
          <w:color w:val="000000"/>
        </w:rPr>
        <mc:AlternateContent>
          <mc:Choice Requires="wps">
            <w:drawing>
              <wp:anchor distT="0" distB="0" distL="0" distR="0" simplePos="0" relativeHeight="4" behindDoc="0" locked="1" layoutInCell="1" allowOverlap="1" wp14:anchorId="3FBA13F3" wp14:editId="609C3947">
                <wp:simplePos x="0" y="0"/>
                <wp:positionH relativeFrom="margin">
                  <wp:posOffset>2549525</wp:posOffset>
                </wp:positionH>
                <wp:positionV relativeFrom="margin">
                  <wp:posOffset>107314</wp:posOffset>
                </wp:positionV>
                <wp:extent cx="3175000" cy="720090"/>
                <wp:effectExtent l="1905" t="0" r="4445" b="0"/>
                <wp:wrapNone/>
                <wp:docPr id="1032" name="fmFrame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000" cy="720090"/>
                        </a:xfrm>
                        <a:prstGeom prst="rect">
                          <a:avLst/>
                        </a:prstGeom>
                        <a:solidFill>
                          <a:srgbClr val="FFFFFF"/>
                        </a:solidFill>
                        <a:ln>
                          <a:noFill/>
                        </a:ln>
                      </wps:spPr>
                      <wps:txbx>
                        <w:txbxContent>
                          <w:p w14:paraId="364BC794" w14:textId="77777777" w:rsidR="00FA0944" w:rsidRDefault="00000000">
                            <w:pPr>
                              <w:pStyle w:val="affa"/>
                            </w:pPr>
                            <w:r>
                              <w:t>QB</w:t>
                            </w:r>
                          </w:p>
                        </w:txbxContent>
                      </wps:txbx>
                      <wps:bodyPr vert="horz" wrap="square" lIns="0" tIns="0" rIns="0" bIns="0" anchor="t" upright="1">
                        <a:prstTxWarp prst="textNoShape">
                          <a:avLst/>
                        </a:prstTxWarp>
                        <a:noAutofit/>
                      </wps:bodyPr>
                    </wps:wsp>
                  </a:graphicData>
                </a:graphic>
              </wp:anchor>
            </w:drawing>
          </mc:Choice>
          <mc:Fallback>
            <w:pict>
              <v:rect w14:anchorId="3FBA13F3" id="fmFrame8" o:spid="_x0000_s1031" style="position:absolute;left:0;text-align:left;margin-left:200.75pt;margin-top:8.45pt;width:250pt;height:56.7pt;z-index:4;visibility:visible;mso-wrap-style:square;mso-wrap-distance-left:0;mso-wrap-distance-top:0;mso-wrap-distance-right:0;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" stroked="f">
                <v:textbox inset="0,0,0,0">
                  <w:txbxContent>
                    <w:p w14:paraId="364BC794" w14:textId="77777777" w:rsidR="00FA0944" w:rsidRDefault="00000000">
                      <w:pPr>
                        <w:pStyle w:val="affa"/>
                      </w:pPr>
                      <w:r>
                        <w:t>QB</w:t>
                      </w:r>
                    </w:p>
                  </w:txbxContent>
                </v:textbox>
                <w10:wrap anchorx="margin" anchory="margin"/>
                <w10:anchorlock/>
              </v:rect>
            </w:pict>
          </mc:Fallback>
        </mc:AlternateContent>
      </w:r>
      <w:r>
        <w:rPr>
          <w:noProof/>
          <w:color w:val="000000"/>
        </w:rPr>
        <mc:AlternateContent>
          <mc:Choice Requires="wps">
            <w:drawing>
              <wp:anchor distT="0" distB="0" distL="0" distR="0" simplePos="0" relativeHeight="3" behindDoc="0" locked="1" layoutInCell="1" allowOverlap="1" wp14:anchorId="644E3720" wp14:editId="27A5BAC4">
                <wp:simplePos x="0" y="0"/>
                <wp:positionH relativeFrom="margin">
                  <wp:posOffset>0</wp:posOffset>
                </wp:positionH>
                <wp:positionV relativeFrom="margin">
                  <wp:posOffset>1010920</wp:posOffset>
                </wp:positionV>
                <wp:extent cx="6120130" cy="391158"/>
                <wp:effectExtent l="0" t="0" r="0" b="1905"/>
                <wp:wrapNone/>
                <wp:docPr id="1033" name="fmFram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391158"/>
                        </a:xfrm>
                        <a:prstGeom prst="rect">
                          <a:avLst/>
                        </a:prstGeom>
                        <a:solidFill>
                          <a:srgbClr val="FFFFFF"/>
                        </a:solidFill>
                        <a:ln>
                          <a:noFill/>
                        </a:ln>
                      </wps:spPr>
                      <wps:txbx>
                        <w:txbxContent>
                          <w:p w14:paraId="338BD5ED" w14:textId="77777777" w:rsidR="00FA0944" w:rsidRDefault="00000000">
                            <w:pPr>
                              <w:pStyle w:val="aff6"/>
                              <w:rPr>
                                <w:rFonts w:hint="eastAsia"/>
                              </w:rPr>
                            </w:pPr>
                            <w:r>
                              <w:rPr>
                                <w:rFonts w:hint="eastAsia"/>
                              </w:rPr>
                              <w:t>中华人民共和国轻工行业标准</w:t>
                            </w:r>
                          </w:p>
                        </w:txbxContent>
                      </wps:txbx>
                      <wps:bodyPr vert="horz" wrap="square" lIns="0" tIns="0" rIns="0" bIns="0" anchor="t" upright="1">
                        <a:prstTxWarp prst="textNoShape">
                          <a:avLst/>
                        </a:prstTxWarp>
                        <a:noAutofit/>
                      </wps:bodyPr>
                    </wps:wsp>
                  </a:graphicData>
                </a:graphic>
              </wp:anchor>
            </w:drawing>
          </mc:Choice>
          <mc:Fallback>
            <w:pict>
              <v:rect w14:anchorId="644E3720" id="fmFrame2" o:spid="_x0000_s1032" style="position:absolute;left:0;text-align:left;margin-left:0;margin-top:79.6pt;width:481.9pt;height:30.8pt;z-index:3;visibility:visible;mso-wrap-style:square;mso-wrap-distance-left:0;mso-wrap-distance-top:0;mso-wrap-distance-right:0;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" stroked="f">
                <v:textbox inset="0,0,0,0">
                  <w:txbxContent>
                    <w:p w14:paraId="338BD5ED" w14:textId="77777777" w:rsidR="00FA0944" w:rsidRDefault="00000000">
                      <w:pPr>
                        <w:pStyle w:val="aff6"/>
                        <w:rPr>
                          <w:rFonts w:hint="eastAsia"/>
                        </w:rPr>
                      </w:pPr>
                      <w:r>
                        <w:rPr>
                          <w:rFonts w:hint="eastAsia"/>
                        </w:rPr>
                        <w:t>中华人民共和国轻工行业标准</w:t>
                      </w:r>
                    </w:p>
                  </w:txbxContent>
                </v:textbox>
                <w10:wrap anchorx="margin" anchory="margin"/>
                <w10:anchorlock/>
              </v:rect>
            </w:pict>
          </mc:Fallback>
        </mc:AlternateContent>
      </w:r>
      <w:r>
        <w:rPr>
          <w:noProof/>
          <w:color w:val="000000"/>
        </w:rPr>
        <mc:AlternateContent>
          <mc:Choice Requires="wps">
            <w:drawing>
              <wp:anchor distT="0" distB="0" distL="0" distR="0" simplePos="0" relativeHeight="2" behindDoc="0" locked="1" layoutInCell="1" allowOverlap="1" wp14:anchorId="1BFAB983" wp14:editId="7CAB94ED">
                <wp:simplePos x="0" y="0"/>
                <wp:positionH relativeFrom="margin">
                  <wp:posOffset>0</wp:posOffset>
                </wp:positionH>
                <wp:positionV relativeFrom="margin">
                  <wp:posOffset>0</wp:posOffset>
                </wp:positionV>
                <wp:extent cx="2540000" cy="657860"/>
                <wp:effectExtent l="0" t="0" r="0" b="3175"/>
                <wp:wrapNone/>
                <wp:docPr id="1034" name="fmFrame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000" cy="657860"/>
                        </a:xfrm>
                        <a:prstGeom prst="rect">
                          <a:avLst/>
                        </a:prstGeom>
                        <a:solidFill>
                          <a:srgbClr val="FFFFFF"/>
                        </a:solidFill>
                        <a:ln>
                          <a:noFill/>
                        </a:ln>
                      </wps:spPr>
                      <wps:txbx>
                        <w:txbxContent>
                          <w:p w14:paraId="46DB8E8B" w14:textId="77777777" w:rsidR="00FA0944" w:rsidRDefault="00000000">
                            <w:pPr>
                              <w:pStyle w:val="afff5"/>
                            </w:pPr>
                            <w:r>
                              <w:t>ICS</w:t>
                            </w:r>
                            <w:r>
                              <w:rPr>
                                <w:rFonts w:hint="eastAsia"/>
                              </w:rPr>
                              <w:t xml:space="preserve"> 71</w:t>
                            </w:r>
                            <w:r>
                              <w:t>.</w:t>
                            </w:r>
                            <w:r>
                              <w:rPr>
                                <w:rFonts w:hint="eastAsia"/>
                              </w:rPr>
                              <w:t>100.40</w:t>
                            </w:r>
                          </w:p>
                          <w:p w14:paraId="6FF85019" w14:textId="77777777" w:rsidR="00FA0944" w:rsidRDefault="00000000">
                            <w:pPr>
                              <w:pStyle w:val="afff5"/>
                            </w:pPr>
                            <w:r>
                              <w:t>CCS Y43</w:t>
                            </w:r>
                          </w:p>
                        </w:txbxContent>
                      </wps:txbx>
                      <wps:bodyPr vert="horz" wrap="square" lIns="0" tIns="0" rIns="0" bIns="0" anchor="t" upright="1">
                        <a:prstTxWarp prst="textNoShape">
                          <a:avLst/>
                        </a:prstTxWarp>
                        <a:noAutofit/>
                      </wps:bodyPr>
                    </wps:wsp>
                  </a:graphicData>
                </a:graphic>
              </wp:anchor>
            </w:drawing>
          </mc:Choice>
          <mc:Fallback>
            <w:pict>
              <v:rect w14:anchorId="1BFAB983" id="fmFrame1" o:spid="_x0000_s1033" style="position:absolute;left:0;text-align:left;margin-left:0;margin-top:0;width:200pt;height:51.8pt;z-index:2;visibility:visible;mso-wrap-style:square;mso-wrap-distance-left:0;mso-wrap-distance-top:0;mso-wrap-distance-right:0;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" stroked="f">
                <v:textbox inset="0,0,0,0">
                  <w:txbxContent>
                    <w:p w14:paraId="46DB8E8B" w14:textId="77777777" w:rsidR="00FA0944" w:rsidRDefault="00000000">
                      <w:pPr>
                        <w:pStyle w:val="afff5"/>
                      </w:pPr>
                      <w:r>
                        <w:t>ICS</w:t>
                      </w:r>
                      <w:r>
                        <w:rPr>
                          <w:rFonts w:hint="eastAsia"/>
                        </w:rPr>
                        <w:t xml:space="preserve"> 71</w:t>
                      </w:r>
                      <w:r>
                        <w:t>.</w:t>
                      </w:r>
                      <w:r>
                        <w:rPr>
                          <w:rFonts w:hint="eastAsia"/>
                        </w:rPr>
                        <w:t>100.40</w:t>
                      </w:r>
                    </w:p>
                    <w:p w14:paraId="6FF85019" w14:textId="77777777" w:rsidR="00FA0944" w:rsidRDefault="00000000">
                      <w:pPr>
                        <w:pStyle w:val="afff5"/>
                      </w:pPr>
                      <w:r>
                        <w:t>CCS Y43</w:t>
                      </w:r>
                    </w:p>
                  </w:txbxContent>
                </v:textbox>
                <w10:wrap anchorx="margin" anchory="margin"/>
                <w10:anchorlock/>
              </v:rect>
            </w:pict>
          </mc:Fallback>
        </mc:AlternateContent>
      </w:r>
      <w:r>
        <w:rPr>
          <w:color w:val="000000"/>
        </w:rPr>
        <w:t>0</w:t>
      </w:r>
    </w:p>
    <w:p w14:paraId="2668302C" w14:textId="77777777" w:rsidR="00FA0944" w:rsidRDefault="00FA0944">
      <w:pPr>
        <w:rPr>
          <w:color w:val="000000"/>
        </w:rPr>
      </w:pPr>
    </w:p>
    <w:p w14:paraId="060CD038" w14:textId="77777777" w:rsidR="00FA0944" w:rsidRDefault="00FA0944">
      <w:pPr>
        <w:rPr>
          <w:color w:val="000000"/>
        </w:rPr>
      </w:pPr>
    </w:p>
    <w:p w14:paraId="349CABB7" w14:textId="77777777" w:rsidR="00FA0944" w:rsidRDefault="00FA0944">
      <w:pPr>
        <w:rPr>
          <w:color w:val="000000"/>
        </w:rPr>
      </w:pPr>
    </w:p>
    <w:p w14:paraId="79746E3C" w14:textId="77777777" w:rsidR="00FA0944" w:rsidRDefault="00FA0944">
      <w:pPr>
        <w:rPr>
          <w:color w:val="000000"/>
        </w:rPr>
      </w:pPr>
    </w:p>
    <w:p w14:paraId="02B5DD13" w14:textId="77777777" w:rsidR="00FA0944" w:rsidRDefault="00FA0944">
      <w:pPr>
        <w:rPr>
          <w:color w:val="000000"/>
        </w:rPr>
      </w:pPr>
    </w:p>
    <w:p w14:paraId="15EEDD53" w14:textId="77777777" w:rsidR="00FA0944" w:rsidRDefault="00FA0944">
      <w:pPr>
        <w:rPr>
          <w:color w:val="000000"/>
        </w:rPr>
      </w:pPr>
    </w:p>
    <w:p w14:paraId="07AD6E35" w14:textId="77777777" w:rsidR="00FA0944" w:rsidRDefault="00FA0944">
      <w:pPr>
        <w:rPr>
          <w:color w:val="000000"/>
        </w:rPr>
      </w:pPr>
    </w:p>
    <w:p w14:paraId="2369A273" w14:textId="77777777" w:rsidR="00FA0944" w:rsidRDefault="00FA0944">
      <w:pPr>
        <w:rPr>
          <w:color w:val="000000"/>
        </w:rPr>
      </w:pPr>
    </w:p>
    <w:p w14:paraId="2689DC49" w14:textId="77777777" w:rsidR="00FA0944" w:rsidRDefault="00FA0944">
      <w:pPr>
        <w:rPr>
          <w:color w:val="000000"/>
        </w:rPr>
      </w:pPr>
    </w:p>
    <w:p w14:paraId="11D4B371" w14:textId="77777777" w:rsidR="00FA0944" w:rsidRDefault="00FA0944">
      <w:pPr>
        <w:rPr>
          <w:color w:val="000000"/>
        </w:rPr>
      </w:pPr>
    </w:p>
    <w:p w14:paraId="27F49E24" w14:textId="77777777" w:rsidR="00FA0944" w:rsidRDefault="00000000">
      <w:pPr>
        <w:rPr>
          <w:color w:val="000000"/>
        </w:rPr>
      </w:pPr>
      <w:r>
        <w:rPr>
          <w:noProof/>
          <w:color w:val="000000"/>
        </w:rPr>
        <mc:AlternateContent>
          <mc:Choice Requires="wps">
            <w:drawing>
              <wp:anchor distT="0" distB="0" distL="0" distR="0" simplePos="0" relativeHeight="11" behindDoc="0" locked="0" layoutInCell="1" allowOverlap="1" wp14:anchorId="5D7D4D18" wp14:editId="2B037B72">
                <wp:simplePos x="0" y="0"/>
                <wp:positionH relativeFrom="column">
                  <wp:posOffset>-29845</wp:posOffset>
                </wp:positionH>
                <wp:positionV relativeFrom="paragraph">
                  <wp:posOffset>64134</wp:posOffset>
                </wp:positionV>
                <wp:extent cx="6121400" cy="0"/>
                <wp:effectExtent l="0" t="0" r="0" b="0"/>
                <wp:wrapNone/>
                <wp:docPr id="1035"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0" cy="0"/>
                        </a:xfrm>
                        <a:prstGeom prst="line">
                          <a:avLst/>
                        </a:prstGeom>
                        <a:ln w="12700"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line id="1035" filled="f" stroked="t" from="-2.35pt,5.0499215pt" to="479.65pt,5.0499215pt" style="position:absolute;z-index:11;mso-position-horizontal-relative:text;mso-position-vertical-relative:text;mso-width-relative:page;mso-height-relative:page;mso-wrap-distance-left:0.0pt;mso-wrap-distance-right:0.0pt;visibility:visible;">
                <v:stroke weight="1.0pt"/>
                <v:fill/>
              </v:line>
            </w:pict>
          </mc:Fallback>
        </mc:AlternateContent>
      </w:r>
    </w:p>
    <w:p w14:paraId="6E63855F" w14:textId="77777777" w:rsidR="00FA0944" w:rsidRDefault="00FA0944">
      <w:pPr>
        <w:rPr>
          <w:color w:val="000000"/>
        </w:rPr>
      </w:pPr>
    </w:p>
    <w:p w14:paraId="7B00737C" w14:textId="77777777" w:rsidR="00FA0944" w:rsidRDefault="00FA0944">
      <w:pPr>
        <w:rPr>
          <w:color w:val="000000"/>
        </w:rPr>
        <w:sectPr w:rsidR="00FA0944">
          <w:headerReference w:type="even" r:id="rId8"/>
          <w:footerReference w:type="even" r:id="rId9"/>
          <w:footerReference w:type="default" r:id="rId10"/>
          <w:headerReference w:type="first" r:id="rId11"/>
          <w:pgSz w:w="11907" w:h="16840"/>
          <w:pgMar w:top="1134" w:right="1418" w:bottom="1418" w:left="1418" w:header="0" w:footer="0" w:gutter="0"/>
          <w:cols w:space="720"/>
          <w:titlePg/>
          <w:docGrid w:linePitch="312"/>
        </w:sectPr>
      </w:pPr>
    </w:p>
    <w:p w14:paraId="5B5B647D" w14:textId="77777777" w:rsidR="00FA0944" w:rsidRDefault="00000000">
      <w:pPr>
        <w:pStyle w:val="a6"/>
        <w:tabs>
          <w:tab w:val="clear" w:pos="360"/>
        </w:tabs>
        <w:rPr>
          <w:rFonts w:ascii="Times New Roman"/>
          <w:color w:val="000000"/>
        </w:rPr>
      </w:pPr>
      <w:r>
        <w:rPr>
          <w:rFonts w:ascii="Times New Roman" w:eastAsia="宋体"/>
          <w:color w:val="000000"/>
        </w:rPr>
        <w:lastRenderedPageBreak/>
        <w:t>前</w:t>
      </w:r>
      <w:r>
        <w:rPr>
          <w:rFonts w:ascii="Times New Roman" w:eastAsia="宋体"/>
          <w:color w:val="000000"/>
        </w:rPr>
        <w:t xml:space="preserve"> </w:t>
      </w:r>
      <w:r>
        <w:rPr>
          <w:rFonts w:ascii="Times New Roman"/>
          <w:color w:val="000000"/>
        </w:rPr>
        <w:t xml:space="preserve">   </w:t>
      </w:r>
      <w:r>
        <w:rPr>
          <w:rFonts w:ascii="Times New Roman"/>
          <w:color w:val="000000"/>
        </w:rPr>
        <w:t>言</w:t>
      </w:r>
    </w:p>
    <w:p w14:paraId="5C2B06C5" w14:textId="421353D4" w:rsidR="00FA0944" w:rsidRDefault="00000000">
      <w:pPr>
        <w:pStyle w:val="af9"/>
        <w:spacing w:line="360" w:lineRule="auto"/>
        <w:ind w:left="0" w:firstLineChars="200" w:firstLine="420"/>
        <w:rPr>
          <w:rFonts w:ascii="Times New Roman" w:hAnsi="Times New Roman"/>
          <w:color w:val="000000"/>
        </w:rPr>
      </w:pPr>
      <w:r>
        <w:rPr>
          <w:rFonts w:ascii="Times New Roman" w:hAnsi="Times New Roman"/>
          <w:color w:val="000000"/>
        </w:rPr>
        <w:t>本文件按照</w:t>
      </w:r>
      <w:r>
        <w:rPr>
          <w:rFonts w:ascii="Times New Roman" w:hAnsi="Times New Roman"/>
          <w:color w:val="000000"/>
        </w:rPr>
        <w:t>GB/T 1.1</w:t>
      </w:r>
      <w:r w:rsidR="00865942">
        <w:rPr>
          <w:rFonts w:ascii="Times New Roman" w:hAnsi="Times New Roman" w:hint="eastAsia"/>
          <w:color w:val="000000"/>
        </w:rPr>
        <w:t>—</w:t>
      </w:r>
      <w:r>
        <w:rPr>
          <w:rFonts w:ascii="Times New Roman" w:hAnsi="Times New Roman"/>
          <w:color w:val="000000"/>
        </w:rPr>
        <w:t xml:space="preserve">2020 </w:t>
      </w:r>
      <w:r>
        <w:rPr>
          <w:rFonts w:ascii="Times New Roman" w:hAnsi="Times New Roman"/>
          <w:color w:val="000000"/>
        </w:rPr>
        <w:t>《标准化工作导则</w:t>
      </w:r>
      <w:r>
        <w:rPr>
          <w:rFonts w:ascii="Times New Roman" w:hAnsi="Times New Roman"/>
          <w:color w:val="000000"/>
        </w:rPr>
        <w:t xml:space="preserve">  </w:t>
      </w:r>
      <w:r>
        <w:rPr>
          <w:rFonts w:ascii="Times New Roman" w:hAnsi="Times New Roman"/>
          <w:color w:val="000000"/>
        </w:rPr>
        <w:t>第</w:t>
      </w:r>
      <w:r>
        <w:rPr>
          <w:rFonts w:ascii="Times New Roman" w:hAnsi="Times New Roman"/>
          <w:color w:val="000000"/>
        </w:rPr>
        <w:t>1</w:t>
      </w:r>
      <w:r>
        <w:rPr>
          <w:rFonts w:ascii="Times New Roman" w:hAnsi="Times New Roman"/>
          <w:color w:val="000000"/>
        </w:rPr>
        <w:t>部分：标准化文件的结构和起草规则》的规定起草。</w:t>
      </w:r>
    </w:p>
    <w:p w14:paraId="79AF9AF7" w14:textId="77777777" w:rsidR="00FA0944" w:rsidRDefault="00000000">
      <w:pPr>
        <w:pStyle w:val="af9"/>
        <w:spacing w:line="360" w:lineRule="auto"/>
        <w:rPr>
          <w:rFonts w:ascii="Times New Roman" w:hAnsi="Times New Roman"/>
          <w:color w:val="000000"/>
        </w:rPr>
      </w:pPr>
      <w:r>
        <w:rPr>
          <w:rFonts w:ascii="Times New Roman" w:hAnsi="Times New Roman"/>
          <w:color w:val="000000"/>
        </w:rPr>
        <w:t>本文件由中国轻工业联合会提出。</w:t>
      </w:r>
    </w:p>
    <w:p w14:paraId="60D8E90B" w14:textId="77777777" w:rsidR="00FA0944" w:rsidRDefault="00000000">
      <w:pPr>
        <w:pStyle w:val="af9"/>
        <w:spacing w:line="360" w:lineRule="auto"/>
        <w:rPr>
          <w:rFonts w:ascii="Times New Roman" w:hAnsi="Times New Roman"/>
          <w:color w:val="000000"/>
        </w:rPr>
      </w:pPr>
      <w:r>
        <w:rPr>
          <w:rFonts w:ascii="Times New Roman" w:hAnsi="Times New Roman"/>
          <w:color w:val="000000"/>
        </w:rPr>
        <w:t>本文件由全国表面活性剂和洗涤用品标准化技术委员会（</w:t>
      </w:r>
      <w:r>
        <w:rPr>
          <w:rFonts w:ascii="Times New Roman" w:hAnsi="Times New Roman"/>
          <w:color w:val="000000"/>
        </w:rPr>
        <w:t>SAC/TC272</w:t>
      </w:r>
      <w:r>
        <w:rPr>
          <w:rFonts w:ascii="Times New Roman" w:hAnsi="Times New Roman"/>
          <w:color w:val="000000"/>
        </w:rPr>
        <w:t>）归口。</w:t>
      </w:r>
    </w:p>
    <w:p w14:paraId="7C7139D0" w14:textId="77777777" w:rsidR="00FA0944" w:rsidRDefault="00000000">
      <w:pPr>
        <w:pStyle w:val="af9"/>
        <w:spacing w:line="360" w:lineRule="auto"/>
        <w:ind w:left="0" w:firstLineChars="200" w:firstLine="420"/>
        <w:rPr>
          <w:rFonts w:ascii="Times New Roman" w:hAnsi="Times New Roman"/>
          <w:color w:val="000000"/>
        </w:rPr>
      </w:pPr>
      <w:r>
        <w:rPr>
          <w:rFonts w:ascii="Times New Roman" w:hAnsi="Times New Roman"/>
          <w:color w:val="000000"/>
        </w:rPr>
        <w:t>本文件起草单位：</w:t>
      </w:r>
      <w:r>
        <w:rPr>
          <w:rFonts w:ascii="Times New Roman" w:hAnsi="Times New Roman"/>
          <w:color w:val="000000"/>
        </w:rPr>
        <w:t xml:space="preserve"> </w:t>
      </w:r>
    </w:p>
    <w:p w14:paraId="1EC3D335" w14:textId="77777777" w:rsidR="00FA0944" w:rsidRDefault="00000000">
      <w:pPr>
        <w:pStyle w:val="af9"/>
        <w:spacing w:line="360" w:lineRule="auto"/>
        <w:rPr>
          <w:rFonts w:ascii="Times New Roman" w:hAnsi="Times New Roman"/>
          <w:color w:val="000000"/>
        </w:rPr>
      </w:pPr>
      <w:r>
        <w:rPr>
          <w:rFonts w:ascii="Times New Roman" w:hAnsi="Times New Roman"/>
          <w:color w:val="000000"/>
        </w:rPr>
        <w:t>本文件主要起草人：</w:t>
      </w:r>
    </w:p>
    <w:p w14:paraId="598A486E" w14:textId="77777777" w:rsidR="00FA0944" w:rsidRDefault="00000000">
      <w:pPr>
        <w:pStyle w:val="af9"/>
        <w:spacing w:line="360" w:lineRule="auto"/>
        <w:rPr>
          <w:rFonts w:ascii="Times New Roman" w:hAnsi="Times New Roman"/>
          <w:color w:val="000000"/>
        </w:rPr>
      </w:pPr>
      <w:r>
        <w:rPr>
          <w:rFonts w:ascii="Times New Roman" w:hAnsi="Times New Roman"/>
          <w:color w:val="000000"/>
        </w:rPr>
        <w:t>本文件为首次发布。</w:t>
      </w:r>
    </w:p>
    <w:p w14:paraId="29099C4C" w14:textId="77777777" w:rsidR="00FA0944" w:rsidRDefault="00FA0944">
      <w:pPr>
        <w:pStyle w:val="af9"/>
        <w:spacing w:line="300" w:lineRule="auto"/>
        <w:ind w:firstLine="420"/>
        <w:rPr>
          <w:rFonts w:ascii="Times New Roman" w:hAnsi="Times New Roman"/>
          <w:color w:val="000000"/>
        </w:rPr>
      </w:pPr>
    </w:p>
    <w:p w14:paraId="70BDDE82" w14:textId="77777777" w:rsidR="00FA0944" w:rsidRDefault="00FA0944">
      <w:pPr>
        <w:pStyle w:val="af9"/>
        <w:spacing w:line="240" w:lineRule="auto"/>
        <w:ind w:firstLine="420"/>
        <w:rPr>
          <w:rFonts w:ascii="Times New Roman" w:hAnsi="Times New Roman"/>
          <w:color w:val="000000"/>
        </w:rPr>
        <w:sectPr w:rsidR="00FA0944">
          <w:headerReference w:type="even" r:id="rId12"/>
          <w:headerReference w:type="default" r:id="rId13"/>
          <w:footerReference w:type="even" r:id="rId14"/>
          <w:footerReference w:type="default" r:id="rId15"/>
          <w:pgSz w:w="11907" w:h="16840"/>
          <w:pgMar w:top="1134" w:right="1134" w:bottom="1134" w:left="1134" w:header="851" w:footer="851" w:gutter="0"/>
          <w:pgNumType w:fmt="upperRoman" w:start="1"/>
          <w:cols w:space="720"/>
          <w:docGrid w:linePitch="312"/>
        </w:sectPr>
      </w:pPr>
    </w:p>
    <w:p w14:paraId="3F0E0555" w14:textId="77777777" w:rsidR="00FA0944" w:rsidRDefault="00000000">
      <w:pPr>
        <w:pStyle w:val="affe"/>
        <w:rPr>
          <w:rFonts w:ascii="Times New Roman"/>
          <w:color w:val="000000"/>
        </w:rPr>
      </w:pPr>
      <w:r>
        <w:rPr>
          <w:rFonts w:ascii="Times New Roman"/>
          <w:color w:val="000000"/>
        </w:rPr>
        <w:lastRenderedPageBreak/>
        <w:t>防串染洗衣剂（片）</w:t>
      </w:r>
    </w:p>
    <w:p w14:paraId="17EF5B22" w14:textId="77777777" w:rsidR="00FA0944" w:rsidRDefault="00000000">
      <w:pPr>
        <w:pStyle w:val="a7"/>
        <w:numPr>
          <w:ilvl w:val="0"/>
          <w:numId w:val="9"/>
        </w:numPr>
        <w:spacing w:beforeLines="100" w:before="240" w:afterLines="100" w:after="240"/>
        <w:rPr>
          <w:rFonts w:ascii="Times New Roman"/>
        </w:rPr>
      </w:pPr>
      <w:r>
        <w:rPr>
          <w:rFonts w:ascii="Times New Roman"/>
        </w:rPr>
        <w:t>范围</w:t>
      </w:r>
    </w:p>
    <w:p w14:paraId="5487E53E" w14:textId="77777777" w:rsidR="00FA0944" w:rsidRDefault="00000000">
      <w:pPr>
        <w:spacing w:line="300" w:lineRule="auto"/>
        <w:ind w:firstLineChars="200" w:firstLine="420"/>
      </w:pPr>
      <w:r>
        <w:t>本文件规定了防串染洗衣剂（片）的术语和定义、要求、试验方法、检验规则、标志、包装、运输、贮存、保质期。</w:t>
      </w:r>
    </w:p>
    <w:p w14:paraId="7C7256B5" w14:textId="77777777" w:rsidR="00FA0944" w:rsidRDefault="00000000">
      <w:pPr>
        <w:spacing w:line="300" w:lineRule="auto"/>
        <w:ind w:firstLineChars="200" w:firstLine="420"/>
      </w:pPr>
      <w:r>
        <w:t>本文件适用于由无纺吸色布为载体附着洗涤剂组合而成的固体状衣物洗涤剂，如防串染洗衣片。</w:t>
      </w:r>
    </w:p>
    <w:p w14:paraId="49756021" w14:textId="77777777" w:rsidR="00FA0944" w:rsidRDefault="00000000">
      <w:pPr>
        <w:pStyle w:val="a7"/>
        <w:numPr>
          <w:ilvl w:val="0"/>
          <w:numId w:val="9"/>
        </w:numPr>
        <w:spacing w:beforeLines="100" w:before="240" w:afterLines="100" w:after="240"/>
        <w:rPr>
          <w:rFonts w:ascii="Times New Roman"/>
        </w:rPr>
      </w:pPr>
      <w:r>
        <w:rPr>
          <w:rFonts w:ascii="Times New Roman"/>
        </w:rPr>
        <w:t>规范性引用文件</w:t>
      </w:r>
    </w:p>
    <w:p w14:paraId="36F5ADED" w14:textId="77777777" w:rsidR="00FA0944" w:rsidRDefault="00000000">
      <w:pPr>
        <w:spacing w:line="360" w:lineRule="auto"/>
        <w:ind w:firstLineChars="200" w:firstLine="420"/>
      </w:pPr>
      <w:r>
        <w:t>下列文件中的内容通过文中的规范性引用而构成本文件必不可少的条款。其中，注日期的引用文件，仅该日期对应的版本适用于本文件；不注日期的引用文件，其最新版本（包括所有的修改单）适用于本文件。</w:t>
      </w:r>
    </w:p>
    <w:p w14:paraId="0A1E3212" w14:textId="77777777" w:rsidR="00FA0944" w:rsidRDefault="00000000">
      <w:pPr>
        <w:autoSpaceDE w:val="0"/>
        <w:autoSpaceDN w:val="0"/>
        <w:adjustRightInd w:val="0"/>
        <w:snapToGrid w:val="0"/>
        <w:spacing w:line="360" w:lineRule="auto"/>
        <w:ind w:firstLineChars="200" w:firstLine="420"/>
        <w:jc w:val="left"/>
        <w:rPr>
          <w:szCs w:val="21"/>
        </w:rPr>
      </w:pPr>
      <w:r>
        <w:rPr>
          <w:szCs w:val="21"/>
        </w:rPr>
        <w:t xml:space="preserve">GB/T 7573  </w:t>
      </w:r>
      <w:r>
        <w:rPr>
          <w:szCs w:val="21"/>
        </w:rPr>
        <w:t>纺织品</w:t>
      </w:r>
      <w:r>
        <w:rPr>
          <w:szCs w:val="21"/>
        </w:rPr>
        <w:t xml:space="preserve"> </w:t>
      </w:r>
      <w:r>
        <w:rPr>
          <w:szCs w:val="21"/>
        </w:rPr>
        <w:t>水萃取液</w:t>
      </w:r>
      <w:r>
        <w:rPr>
          <w:szCs w:val="21"/>
        </w:rPr>
        <w:t>pH</w:t>
      </w:r>
      <w:r>
        <w:rPr>
          <w:szCs w:val="21"/>
        </w:rPr>
        <w:t>值</w:t>
      </w:r>
      <w:r>
        <w:rPr>
          <w:rFonts w:hint="eastAsia"/>
          <w:szCs w:val="21"/>
        </w:rPr>
        <w:t>的</w:t>
      </w:r>
      <w:r>
        <w:rPr>
          <w:szCs w:val="21"/>
        </w:rPr>
        <w:t>测定</w:t>
      </w:r>
    </w:p>
    <w:p w14:paraId="43738F44" w14:textId="77777777" w:rsidR="00FA0944" w:rsidRDefault="00000000">
      <w:pPr>
        <w:spacing w:line="360" w:lineRule="auto"/>
        <w:ind w:firstLineChars="200" w:firstLine="420"/>
        <w:rPr>
          <w:szCs w:val="21"/>
        </w:rPr>
      </w:pPr>
      <w:r>
        <w:rPr>
          <w:szCs w:val="21"/>
        </w:rPr>
        <w:t xml:space="preserve">GB/T 13173  </w:t>
      </w:r>
      <w:r>
        <w:rPr>
          <w:szCs w:val="21"/>
        </w:rPr>
        <w:t>表面活性剂</w:t>
      </w:r>
      <w:r>
        <w:rPr>
          <w:szCs w:val="21"/>
        </w:rPr>
        <w:t xml:space="preserve">  </w:t>
      </w:r>
      <w:r>
        <w:rPr>
          <w:szCs w:val="21"/>
        </w:rPr>
        <w:t>洗涤剂试验方法</w:t>
      </w:r>
    </w:p>
    <w:p w14:paraId="434BFC6B" w14:textId="77777777" w:rsidR="00FA0944" w:rsidRDefault="00000000">
      <w:pPr>
        <w:autoSpaceDE w:val="0"/>
        <w:autoSpaceDN w:val="0"/>
        <w:adjustRightInd w:val="0"/>
        <w:snapToGrid w:val="0"/>
        <w:spacing w:line="360" w:lineRule="auto"/>
        <w:ind w:firstLineChars="200" w:firstLine="420"/>
        <w:jc w:val="left"/>
        <w:rPr>
          <w:szCs w:val="21"/>
        </w:rPr>
      </w:pPr>
      <w:r>
        <w:rPr>
          <w:szCs w:val="21"/>
        </w:rPr>
        <w:t xml:space="preserve">GB/T 13174  </w:t>
      </w:r>
      <w:r>
        <w:rPr>
          <w:szCs w:val="21"/>
        </w:rPr>
        <w:t>衣料用洗涤剂去污力及循环洗涤性能的测定</w:t>
      </w:r>
    </w:p>
    <w:p w14:paraId="551F711B" w14:textId="77777777" w:rsidR="00FA0944" w:rsidRDefault="00000000">
      <w:pPr>
        <w:autoSpaceDE w:val="0"/>
        <w:autoSpaceDN w:val="0"/>
        <w:adjustRightInd w:val="0"/>
        <w:snapToGrid w:val="0"/>
        <w:spacing w:line="360" w:lineRule="auto"/>
        <w:ind w:firstLineChars="200" w:firstLine="420"/>
        <w:jc w:val="left"/>
        <w:rPr>
          <w:szCs w:val="21"/>
        </w:rPr>
      </w:pPr>
      <w:r>
        <w:rPr>
          <w:szCs w:val="21"/>
        </w:rPr>
        <w:t xml:space="preserve">GB/T 36970  </w:t>
      </w:r>
      <w:r>
        <w:rPr>
          <w:szCs w:val="21"/>
        </w:rPr>
        <w:t>消费品使用说明</w:t>
      </w:r>
      <w:r>
        <w:rPr>
          <w:szCs w:val="21"/>
        </w:rPr>
        <w:t xml:space="preserve">  </w:t>
      </w:r>
      <w:r>
        <w:rPr>
          <w:szCs w:val="21"/>
        </w:rPr>
        <w:t>洗涤用品标签</w:t>
      </w:r>
    </w:p>
    <w:p w14:paraId="324309A7" w14:textId="77777777" w:rsidR="00FA0944" w:rsidRDefault="00000000">
      <w:pPr>
        <w:spacing w:line="360" w:lineRule="auto"/>
        <w:ind w:firstLineChars="200" w:firstLine="420"/>
      </w:pPr>
      <w:r>
        <w:rPr>
          <w:szCs w:val="21"/>
        </w:rPr>
        <w:t>JJF 1070</w:t>
      </w:r>
      <w:r>
        <w:t xml:space="preserve">  </w:t>
      </w:r>
      <w:r>
        <w:t>定量包装商品净含量计量检验规则</w:t>
      </w:r>
    </w:p>
    <w:p w14:paraId="50D61446" w14:textId="71F52D0B" w:rsidR="00FA0944" w:rsidRDefault="00000000">
      <w:pPr>
        <w:autoSpaceDE w:val="0"/>
        <w:autoSpaceDN w:val="0"/>
        <w:adjustRightInd w:val="0"/>
        <w:snapToGrid w:val="0"/>
        <w:spacing w:line="360" w:lineRule="auto"/>
        <w:ind w:firstLineChars="200" w:firstLine="420"/>
        <w:jc w:val="left"/>
        <w:rPr>
          <w:szCs w:val="21"/>
        </w:rPr>
      </w:pPr>
      <w:r>
        <w:rPr>
          <w:szCs w:val="21"/>
        </w:rPr>
        <w:t>QB/T 2738</w:t>
      </w:r>
      <w:r w:rsidR="00865942">
        <w:rPr>
          <w:rFonts w:hint="eastAsia"/>
          <w:szCs w:val="21"/>
        </w:rPr>
        <w:t>—</w:t>
      </w:r>
      <w:r>
        <w:rPr>
          <w:szCs w:val="21"/>
        </w:rPr>
        <w:t xml:space="preserve">2023  </w:t>
      </w:r>
      <w:r>
        <w:rPr>
          <w:szCs w:val="21"/>
        </w:rPr>
        <w:t>日化产品抗菌抑菌效果的评价方法</w:t>
      </w:r>
    </w:p>
    <w:p w14:paraId="3FD49BA5" w14:textId="77777777" w:rsidR="00FA0944" w:rsidRDefault="00000000">
      <w:pPr>
        <w:spacing w:line="360" w:lineRule="auto"/>
        <w:ind w:firstLineChars="200" w:firstLine="420"/>
      </w:pPr>
      <w:r>
        <w:t xml:space="preserve">QB/T 2951  </w:t>
      </w:r>
      <w:r>
        <w:t>洗涤用品检验规则</w:t>
      </w:r>
    </w:p>
    <w:p w14:paraId="5A63D717" w14:textId="77777777" w:rsidR="00FA0944" w:rsidRDefault="00000000">
      <w:pPr>
        <w:autoSpaceDE w:val="0"/>
        <w:autoSpaceDN w:val="0"/>
        <w:adjustRightInd w:val="0"/>
        <w:snapToGrid w:val="0"/>
        <w:spacing w:line="360" w:lineRule="auto"/>
        <w:ind w:firstLineChars="200" w:firstLine="420"/>
        <w:jc w:val="left"/>
        <w:rPr>
          <w:szCs w:val="21"/>
        </w:rPr>
      </w:pPr>
      <w:r>
        <w:t xml:space="preserve">QB/T 2952  </w:t>
      </w:r>
      <w:r>
        <w:t>洗涤用品标识和包装要求</w:t>
      </w:r>
    </w:p>
    <w:p w14:paraId="433F7881" w14:textId="77777777" w:rsidR="00FA0944" w:rsidRDefault="00000000">
      <w:pPr>
        <w:pStyle w:val="a7"/>
        <w:numPr>
          <w:ilvl w:val="0"/>
          <w:numId w:val="9"/>
        </w:numPr>
        <w:spacing w:beforeLines="100" w:before="240" w:afterLines="100" w:after="240"/>
        <w:rPr>
          <w:rFonts w:ascii="Times New Roman"/>
        </w:rPr>
      </w:pPr>
      <w:r>
        <w:rPr>
          <w:rFonts w:ascii="Times New Roman"/>
        </w:rPr>
        <w:t>术语和定义</w:t>
      </w:r>
    </w:p>
    <w:p w14:paraId="74FEBCF5" w14:textId="77777777" w:rsidR="00FA0944" w:rsidRDefault="00000000">
      <w:pPr>
        <w:pStyle w:val="afffb"/>
        <w:spacing w:line="360" w:lineRule="auto"/>
        <w:jc w:val="left"/>
        <w:rPr>
          <w:sz w:val="24"/>
          <w:szCs w:val="32"/>
        </w:rPr>
      </w:pPr>
      <w:r>
        <w:rPr>
          <w:szCs w:val="21"/>
        </w:rPr>
        <w:t>下列术语和定义适用于本文件。</w:t>
      </w:r>
    </w:p>
    <w:p w14:paraId="6BA409DF" w14:textId="77777777" w:rsidR="00FA0944" w:rsidRDefault="00000000">
      <w:pPr>
        <w:jc w:val="left"/>
        <w:rPr>
          <w:b/>
          <w:color w:val="000000"/>
          <w:kern w:val="0"/>
          <w:szCs w:val="21"/>
        </w:rPr>
      </w:pPr>
      <w:r>
        <w:rPr>
          <w:b/>
          <w:color w:val="000000"/>
          <w:kern w:val="0"/>
          <w:szCs w:val="21"/>
        </w:rPr>
        <w:t>3.1</w:t>
      </w:r>
    </w:p>
    <w:p w14:paraId="0F1BAE6B" w14:textId="77777777" w:rsidR="00FA0944" w:rsidRDefault="00000000">
      <w:pPr>
        <w:spacing w:line="300" w:lineRule="auto"/>
        <w:ind w:firstLineChars="200" w:firstLine="422"/>
        <w:jc w:val="left"/>
        <w:rPr>
          <w:b/>
          <w:color w:val="000000"/>
          <w:kern w:val="0"/>
          <w:szCs w:val="21"/>
        </w:rPr>
      </w:pPr>
      <w:r>
        <w:rPr>
          <w:b/>
          <w:color w:val="000000"/>
          <w:kern w:val="0"/>
          <w:szCs w:val="21"/>
        </w:rPr>
        <w:t>防串染洗衣剂（片）</w:t>
      </w:r>
      <w:r>
        <w:rPr>
          <w:b/>
          <w:color w:val="000000"/>
          <w:kern w:val="0"/>
          <w:szCs w:val="21"/>
        </w:rPr>
        <w:t>Color-guard laundry detergent (sheet)</w:t>
      </w:r>
    </w:p>
    <w:p w14:paraId="33FF02D5" w14:textId="77777777" w:rsidR="00FA0944" w:rsidRDefault="00000000">
      <w:pPr>
        <w:pStyle w:val="afffb"/>
        <w:spacing w:line="300" w:lineRule="auto"/>
        <w:jc w:val="left"/>
        <w:rPr>
          <w:szCs w:val="21"/>
        </w:rPr>
      </w:pPr>
      <w:r>
        <w:rPr>
          <w:szCs w:val="21"/>
        </w:rPr>
        <w:t>由无纺吸色布为载体附着洗涤剂组合构成的衣物洗涤剂产品。在洗涤剂产生清洁</w:t>
      </w:r>
      <w:r>
        <w:rPr>
          <w:rFonts w:hint="eastAsia"/>
          <w:szCs w:val="21"/>
        </w:rPr>
        <w:t>作用</w:t>
      </w:r>
      <w:r>
        <w:rPr>
          <w:szCs w:val="21"/>
        </w:rPr>
        <w:t>的同时，无纺吸色布吸附从衣服上洗脱下的颜色，达到防止或减少洗涤衣物之间相互串色的作用。</w:t>
      </w:r>
    </w:p>
    <w:p w14:paraId="591C758D" w14:textId="77777777" w:rsidR="00FA0944" w:rsidRDefault="00000000">
      <w:pPr>
        <w:pStyle w:val="a7"/>
        <w:numPr>
          <w:ilvl w:val="0"/>
          <w:numId w:val="9"/>
        </w:numPr>
        <w:spacing w:beforeLines="100" w:before="240" w:afterLines="100" w:after="240"/>
        <w:rPr>
          <w:rFonts w:ascii="Times New Roman"/>
        </w:rPr>
      </w:pPr>
      <w:r>
        <w:rPr>
          <w:rFonts w:ascii="Times New Roman"/>
        </w:rPr>
        <w:t>要求</w:t>
      </w:r>
    </w:p>
    <w:p w14:paraId="33D689B3" w14:textId="77777777" w:rsidR="00FA0944" w:rsidRDefault="00000000">
      <w:pPr>
        <w:pStyle w:val="afc"/>
        <w:numPr>
          <w:ilvl w:val="1"/>
          <w:numId w:val="9"/>
        </w:numPr>
        <w:spacing w:before="120" w:after="120"/>
        <w:jc w:val="left"/>
        <w:rPr>
          <w:rFonts w:ascii="Times New Roman"/>
        </w:rPr>
      </w:pPr>
      <w:r>
        <w:rPr>
          <w:rFonts w:ascii="Times New Roman"/>
        </w:rPr>
        <w:t>外观</w:t>
      </w:r>
    </w:p>
    <w:p w14:paraId="486D6BF2" w14:textId="77777777" w:rsidR="00FA0944" w:rsidRDefault="00000000">
      <w:pPr>
        <w:pStyle w:val="af9"/>
        <w:rPr>
          <w:rFonts w:ascii="Times New Roman" w:hAnsi="Times New Roman"/>
        </w:rPr>
      </w:pPr>
      <w:r>
        <w:rPr>
          <w:rFonts w:ascii="Times New Roman" w:hAnsi="Times New Roman"/>
        </w:rPr>
        <w:t>色泽均一的片状或其他形状的固体。</w:t>
      </w:r>
    </w:p>
    <w:p w14:paraId="28D30D8A" w14:textId="77777777" w:rsidR="00FA0944" w:rsidRDefault="00000000">
      <w:pPr>
        <w:pStyle w:val="afc"/>
        <w:numPr>
          <w:ilvl w:val="1"/>
          <w:numId w:val="9"/>
        </w:numPr>
        <w:spacing w:before="120" w:after="120" w:line="300" w:lineRule="auto"/>
        <w:jc w:val="left"/>
        <w:rPr>
          <w:rFonts w:ascii="Times New Roman"/>
        </w:rPr>
      </w:pPr>
      <w:r>
        <w:rPr>
          <w:rFonts w:ascii="Times New Roman"/>
        </w:rPr>
        <w:t>理化</w:t>
      </w:r>
      <w:r>
        <w:rPr>
          <w:rFonts w:ascii="Times New Roman" w:hint="eastAsia"/>
        </w:rPr>
        <w:t>、</w:t>
      </w:r>
      <w:r>
        <w:rPr>
          <w:rFonts w:ascii="Times New Roman"/>
        </w:rPr>
        <w:t>性能</w:t>
      </w:r>
      <w:r>
        <w:rPr>
          <w:rFonts w:ascii="Times New Roman" w:hint="eastAsia"/>
        </w:rPr>
        <w:t>及重量</w:t>
      </w:r>
      <w:r>
        <w:rPr>
          <w:rFonts w:ascii="Times New Roman"/>
        </w:rPr>
        <w:t>指标</w:t>
      </w:r>
    </w:p>
    <w:p w14:paraId="43BB2CD1" w14:textId="77777777" w:rsidR="00FA0944" w:rsidRDefault="00000000">
      <w:pPr>
        <w:pStyle w:val="af9"/>
        <w:spacing w:line="300" w:lineRule="auto"/>
        <w:rPr>
          <w:rFonts w:ascii="Times New Roman" w:hAnsi="Times New Roman"/>
        </w:rPr>
      </w:pPr>
      <w:r>
        <w:rPr>
          <w:rFonts w:ascii="Times New Roman" w:hAnsi="Times New Roman"/>
        </w:rPr>
        <w:t>产品的理化</w:t>
      </w:r>
      <w:r>
        <w:rPr>
          <w:rFonts w:ascii="Times New Roman" w:hAnsi="Times New Roman" w:hint="eastAsia"/>
        </w:rPr>
        <w:t>、</w:t>
      </w:r>
      <w:r>
        <w:rPr>
          <w:rFonts w:ascii="Times New Roman" w:hAnsi="Times New Roman"/>
        </w:rPr>
        <w:t>性能</w:t>
      </w:r>
      <w:r>
        <w:rPr>
          <w:rFonts w:ascii="Times New Roman" w:hAnsi="Times New Roman" w:hint="eastAsia"/>
        </w:rPr>
        <w:t>及重量</w:t>
      </w:r>
      <w:r>
        <w:rPr>
          <w:rFonts w:ascii="Times New Roman" w:hAnsi="Times New Roman"/>
        </w:rPr>
        <w:t>指标应符合表</w:t>
      </w:r>
      <w:r>
        <w:rPr>
          <w:rFonts w:ascii="Times New Roman" w:hAnsi="Times New Roman"/>
        </w:rPr>
        <w:t>1</w:t>
      </w:r>
      <w:r>
        <w:rPr>
          <w:rFonts w:ascii="Times New Roman" w:hAnsi="Times New Roman"/>
        </w:rPr>
        <w:t>的规定。</w:t>
      </w:r>
    </w:p>
    <w:p w14:paraId="7EB324EA" w14:textId="77777777" w:rsidR="00FA0944" w:rsidRDefault="00000000">
      <w:pPr>
        <w:pStyle w:val="a0"/>
        <w:numPr>
          <w:ilvl w:val="0"/>
          <w:numId w:val="8"/>
        </w:numPr>
        <w:tabs>
          <w:tab w:val="left" w:pos="360"/>
        </w:tabs>
        <w:spacing w:before="120" w:after="120"/>
        <w:rPr>
          <w:rFonts w:ascii="Times New Roman"/>
        </w:rPr>
      </w:pPr>
      <w:r>
        <w:rPr>
          <w:rFonts w:ascii="Times New Roman"/>
        </w:rPr>
        <w:t>理化</w:t>
      </w:r>
      <w:r>
        <w:rPr>
          <w:rFonts w:ascii="Times New Roman" w:hint="eastAsia"/>
        </w:rPr>
        <w:t>、</w:t>
      </w:r>
      <w:r>
        <w:rPr>
          <w:rFonts w:ascii="Times New Roman"/>
        </w:rPr>
        <w:t>性能</w:t>
      </w:r>
      <w:r>
        <w:rPr>
          <w:rFonts w:ascii="Times New Roman" w:hint="eastAsia"/>
        </w:rPr>
        <w:t>及重量</w:t>
      </w:r>
      <w:r>
        <w:rPr>
          <w:rFonts w:ascii="Times New Roman"/>
        </w:rPr>
        <w:t>指标</w:t>
      </w:r>
    </w:p>
    <w:tbl>
      <w:tblPr>
        <w:tblStyle w:val="af5"/>
        <w:tblW w:w="0" w:type="auto"/>
        <w:tblLook w:val="04A0" w:firstRow="1" w:lastRow="0" w:firstColumn="1" w:lastColumn="0" w:noHBand="0" w:noVBand="1"/>
      </w:tblPr>
      <w:tblGrid>
        <w:gridCol w:w="669"/>
        <w:gridCol w:w="2445"/>
        <w:gridCol w:w="1843"/>
        <w:gridCol w:w="3562"/>
      </w:tblGrid>
      <w:tr w:rsidR="00FA0944" w14:paraId="3FF63AB9" w14:textId="77777777" w:rsidTr="00DA1874">
        <w:trPr>
          <w:trHeight w:val="458"/>
        </w:trPr>
        <w:tc>
          <w:tcPr>
            <w:tcW w:w="4957" w:type="dxa"/>
            <w:gridSpan w:val="3"/>
            <w:vAlign w:val="center"/>
          </w:tcPr>
          <w:p w14:paraId="399C20CA" w14:textId="77777777" w:rsidR="00FA0944" w:rsidRDefault="00000000">
            <w:pPr>
              <w:ind w:firstLineChars="200" w:firstLine="360"/>
              <w:jc w:val="center"/>
              <w:rPr>
                <w:sz w:val="18"/>
                <w:szCs w:val="18"/>
              </w:rPr>
            </w:pPr>
            <w:r>
              <w:rPr>
                <w:sz w:val="18"/>
                <w:szCs w:val="18"/>
              </w:rPr>
              <w:t>项目</w:t>
            </w:r>
          </w:p>
        </w:tc>
        <w:tc>
          <w:tcPr>
            <w:tcW w:w="3562" w:type="dxa"/>
            <w:vAlign w:val="center"/>
          </w:tcPr>
          <w:p w14:paraId="35A2C1EC" w14:textId="77777777" w:rsidR="00FA0944" w:rsidRDefault="00000000">
            <w:pPr>
              <w:ind w:firstLineChars="200" w:firstLine="360"/>
              <w:jc w:val="center"/>
              <w:rPr>
                <w:sz w:val="18"/>
                <w:szCs w:val="18"/>
              </w:rPr>
            </w:pPr>
            <w:r>
              <w:rPr>
                <w:sz w:val="18"/>
                <w:szCs w:val="18"/>
              </w:rPr>
              <w:t>指标</w:t>
            </w:r>
          </w:p>
        </w:tc>
      </w:tr>
      <w:tr w:rsidR="00FA0944" w14:paraId="4500C550" w14:textId="77777777" w:rsidTr="00DA1874">
        <w:trPr>
          <w:trHeight w:val="586"/>
        </w:trPr>
        <w:tc>
          <w:tcPr>
            <w:tcW w:w="669" w:type="dxa"/>
            <w:vMerge w:val="restart"/>
            <w:vAlign w:val="center"/>
          </w:tcPr>
          <w:p w14:paraId="6437A9B1" w14:textId="77777777" w:rsidR="00FA0944" w:rsidRDefault="00000000">
            <w:pPr>
              <w:jc w:val="center"/>
              <w:rPr>
                <w:sz w:val="18"/>
                <w:szCs w:val="18"/>
              </w:rPr>
            </w:pPr>
            <w:r>
              <w:rPr>
                <w:sz w:val="18"/>
                <w:szCs w:val="18"/>
              </w:rPr>
              <w:lastRenderedPageBreak/>
              <w:t>理化</w:t>
            </w:r>
          </w:p>
          <w:p w14:paraId="4675C703" w14:textId="77777777" w:rsidR="00FA0944" w:rsidRDefault="00000000">
            <w:pPr>
              <w:jc w:val="center"/>
              <w:rPr>
                <w:sz w:val="18"/>
                <w:szCs w:val="18"/>
              </w:rPr>
            </w:pPr>
            <w:r>
              <w:rPr>
                <w:sz w:val="18"/>
                <w:szCs w:val="18"/>
              </w:rPr>
              <w:t>指标</w:t>
            </w:r>
          </w:p>
        </w:tc>
        <w:tc>
          <w:tcPr>
            <w:tcW w:w="2445" w:type="dxa"/>
            <w:vMerge w:val="restart"/>
            <w:vAlign w:val="center"/>
          </w:tcPr>
          <w:p w14:paraId="2F60A485" w14:textId="77777777" w:rsidR="00FA0944" w:rsidRDefault="00000000">
            <w:pPr>
              <w:jc w:val="center"/>
              <w:rPr>
                <w:sz w:val="18"/>
                <w:szCs w:val="18"/>
              </w:rPr>
            </w:pPr>
            <w:r>
              <w:rPr>
                <w:sz w:val="18"/>
                <w:szCs w:val="18"/>
              </w:rPr>
              <w:t>稳定性</w:t>
            </w:r>
          </w:p>
        </w:tc>
        <w:tc>
          <w:tcPr>
            <w:tcW w:w="1843" w:type="dxa"/>
            <w:vAlign w:val="center"/>
          </w:tcPr>
          <w:p w14:paraId="29944168" w14:textId="77777777" w:rsidR="00FA0944" w:rsidRDefault="00000000">
            <w:pPr>
              <w:jc w:val="center"/>
              <w:rPr>
                <w:sz w:val="18"/>
                <w:szCs w:val="18"/>
              </w:rPr>
            </w:pPr>
            <w:r>
              <w:rPr>
                <w:sz w:val="18"/>
                <w:szCs w:val="18"/>
              </w:rPr>
              <w:t>耐热</w:t>
            </w:r>
          </w:p>
        </w:tc>
        <w:tc>
          <w:tcPr>
            <w:tcW w:w="3562" w:type="dxa"/>
            <w:vAlign w:val="center"/>
          </w:tcPr>
          <w:p w14:paraId="379E0A60" w14:textId="77777777" w:rsidR="00FA0944" w:rsidRDefault="00000000">
            <w:pPr>
              <w:jc w:val="center"/>
              <w:rPr>
                <w:sz w:val="18"/>
                <w:szCs w:val="18"/>
              </w:rPr>
            </w:pPr>
            <w:r>
              <w:rPr>
                <w:sz w:val="18"/>
                <w:szCs w:val="18"/>
              </w:rPr>
              <w:t>在</w:t>
            </w:r>
            <w:r>
              <w:rPr>
                <w:sz w:val="18"/>
                <w:szCs w:val="18"/>
              </w:rPr>
              <w:t>(40±2)℃</w:t>
            </w:r>
            <w:r>
              <w:rPr>
                <w:sz w:val="18"/>
                <w:szCs w:val="18"/>
              </w:rPr>
              <w:t>下保持</w:t>
            </w:r>
            <w:r>
              <w:rPr>
                <w:sz w:val="18"/>
                <w:szCs w:val="18"/>
              </w:rPr>
              <w:t>24 h</w:t>
            </w:r>
            <w:r>
              <w:rPr>
                <w:sz w:val="18"/>
                <w:szCs w:val="18"/>
              </w:rPr>
              <w:t>，恢复至室温时无变形、粘连、变色现象</w:t>
            </w:r>
            <w:r>
              <w:rPr>
                <w:rFonts w:hint="eastAsia"/>
                <w:sz w:val="18"/>
                <w:szCs w:val="18"/>
              </w:rPr>
              <w:t>，不合格率</w:t>
            </w:r>
            <w:r>
              <w:rPr>
                <w:sz w:val="18"/>
                <w:szCs w:val="18"/>
              </w:rPr>
              <w:t>≤10</w:t>
            </w:r>
            <w:r>
              <w:rPr>
                <w:rFonts w:hint="eastAsia"/>
                <w:sz w:val="18"/>
                <w:szCs w:val="18"/>
              </w:rPr>
              <w:t>％</w:t>
            </w:r>
          </w:p>
        </w:tc>
      </w:tr>
      <w:tr w:rsidR="00FA0944" w14:paraId="5AAFEF23" w14:textId="77777777" w:rsidTr="00DA1874">
        <w:trPr>
          <w:trHeight w:val="552"/>
        </w:trPr>
        <w:tc>
          <w:tcPr>
            <w:tcW w:w="669" w:type="dxa"/>
            <w:vMerge/>
            <w:vAlign w:val="center"/>
          </w:tcPr>
          <w:p w14:paraId="499E6FFE" w14:textId="77777777" w:rsidR="00FA0944" w:rsidRDefault="00FA0944">
            <w:pPr>
              <w:ind w:firstLine="480"/>
              <w:jc w:val="center"/>
              <w:rPr>
                <w:sz w:val="18"/>
                <w:szCs w:val="18"/>
              </w:rPr>
            </w:pPr>
          </w:p>
        </w:tc>
        <w:tc>
          <w:tcPr>
            <w:tcW w:w="2445" w:type="dxa"/>
            <w:vMerge/>
            <w:vAlign w:val="center"/>
          </w:tcPr>
          <w:p w14:paraId="5E3B4C9F" w14:textId="77777777" w:rsidR="00FA0944" w:rsidRDefault="00FA0944">
            <w:pPr>
              <w:ind w:firstLine="480"/>
              <w:jc w:val="center"/>
              <w:rPr>
                <w:sz w:val="18"/>
                <w:szCs w:val="18"/>
              </w:rPr>
            </w:pPr>
          </w:p>
        </w:tc>
        <w:tc>
          <w:tcPr>
            <w:tcW w:w="1843" w:type="dxa"/>
            <w:vAlign w:val="center"/>
          </w:tcPr>
          <w:p w14:paraId="23F75870" w14:textId="77777777" w:rsidR="00FA0944" w:rsidRDefault="00000000">
            <w:pPr>
              <w:jc w:val="center"/>
              <w:rPr>
                <w:sz w:val="18"/>
                <w:szCs w:val="18"/>
              </w:rPr>
            </w:pPr>
            <w:r>
              <w:rPr>
                <w:sz w:val="18"/>
                <w:szCs w:val="18"/>
              </w:rPr>
              <w:t>耐寒</w:t>
            </w:r>
          </w:p>
        </w:tc>
        <w:tc>
          <w:tcPr>
            <w:tcW w:w="3562" w:type="dxa"/>
            <w:vAlign w:val="center"/>
          </w:tcPr>
          <w:p w14:paraId="63089102" w14:textId="77777777" w:rsidR="00FA0944" w:rsidRDefault="00000000">
            <w:pPr>
              <w:jc w:val="center"/>
              <w:rPr>
                <w:sz w:val="18"/>
                <w:szCs w:val="18"/>
              </w:rPr>
            </w:pPr>
            <w:r>
              <w:rPr>
                <w:sz w:val="18"/>
                <w:szCs w:val="18"/>
              </w:rPr>
              <w:t>在</w:t>
            </w:r>
            <w:r>
              <w:rPr>
                <w:sz w:val="18"/>
                <w:szCs w:val="18"/>
              </w:rPr>
              <w:t>(-5±2)℃</w:t>
            </w:r>
            <w:r>
              <w:rPr>
                <w:sz w:val="18"/>
                <w:szCs w:val="18"/>
              </w:rPr>
              <w:t>下保持</w:t>
            </w:r>
            <w:r>
              <w:rPr>
                <w:sz w:val="18"/>
                <w:szCs w:val="18"/>
              </w:rPr>
              <w:t>24 h</w:t>
            </w:r>
            <w:r>
              <w:rPr>
                <w:sz w:val="18"/>
                <w:szCs w:val="18"/>
              </w:rPr>
              <w:t>，恢复至室温时无开裂、变色现象</w:t>
            </w:r>
            <w:r>
              <w:rPr>
                <w:rFonts w:hint="eastAsia"/>
                <w:sz w:val="18"/>
                <w:szCs w:val="18"/>
              </w:rPr>
              <w:t>，不合格率</w:t>
            </w:r>
            <w:r>
              <w:rPr>
                <w:sz w:val="18"/>
                <w:szCs w:val="18"/>
              </w:rPr>
              <w:t>≤10</w:t>
            </w:r>
            <w:r>
              <w:rPr>
                <w:sz w:val="18"/>
                <w:szCs w:val="18"/>
              </w:rPr>
              <w:t>％</w:t>
            </w:r>
          </w:p>
        </w:tc>
      </w:tr>
      <w:tr w:rsidR="00FA0944" w14:paraId="41D4F6DE" w14:textId="77777777" w:rsidTr="00DA1874">
        <w:trPr>
          <w:trHeight w:val="458"/>
        </w:trPr>
        <w:tc>
          <w:tcPr>
            <w:tcW w:w="669" w:type="dxa"/>
            <w:vMerge/>
            <w:vAlign w:val="center"/>
          </w:tcPr>
          <w:p w14:paraId="2A7603C2" w14:textId="77777777" w:rsidR="00FA0944" w:rsidRDefault="00FA0944">
            <w:pPr>
              <w:ind w:firstLine="480"/>
              <w:jc w:val="center"/>
              <w:rPr>
                <w:sz w:val="18"/>
                <w:szCs w:val="18"/>
              </w:rPr>
            </w:pPr>
          </w:p>
        </w:tc>
        <w:tc>
          <w:tcPr>
            <w:tcW w:w="4288" w:type="dxa"/>
            <w:gridSpan w:val="2"/>
            <w:vAlign w:val="center"/>
          </w:tcPr>
          <w:p w14:paraId="0C7AEE7D" w14:textId="77777777" w:rsidR="00FA0944" w:rsidRDefault="00000000">
            <w:pPr>
              <w:jc w:val="center"/>
              <w:rPr>
                <w:sz w:val="18"/>
                <w:szCs w:val="18"/>
                <w:highlight w:val="yellow"/>
              </w:rPr>
            </w:pPr>
            <w:r>
              <w:rPr>
                <w:sz w:val="18"/>
                <w:szCs w:val="18"/>
              </w:rPr>
              <w:t>pH</w:t>
            </w:r>
            <w:r>
              <w:rPr>
                <w:sz w:val="18"/>
                <w:szCs w:val="18"/>
              </w:rPr>
              <w:t>值（</w:t>
            </w:r>
            <w:r>
              <w:rPr>
                <w:sz w:val="18"/>
                <w:szCs w:val="18"/>
              </w:rPr>
              <w:t>25℃, 0.1%</w:t>
            </w:r>
            <w:r>
              <w:rPr>
                <w:sz w:val="18"/>
                <w:szCs w:val="18"/>
              </w:rPr>
              <w:t>水溶液）</w:t>
            </w:r>
          </w:p>
        </w:tc>
        <w:tc>
          <w:tcPr>
            <w:tcW w:w="3562" w:type="dxa"/>
            <w:vAlign w:val="center"/>
          </w:tcPr>
          <w:p w14:paraId="631BF00C" w14:textId="77777777" w:rsidR="00FA0944" w:rsidRDefault="00000000">
            <w:pPr>
              <w:jc w:val="center"/>
              <w:rPr>
                <w:sz w:val="18"/>
                <w:szCs w:val="18"/>
                <w:highlight w:val="yellow"/>
              </w:rPr>
            </w:pPr>
            <w:r>
              <w:rPr>
                <w:sz w:val="18"/>
                <w:szCs w:val="18"/>
              </w:rPr>
              <w:t>5.5~10.5</w:t>
            </w:r>
          </w:p>
        </w:tc>
      </w:tr>
      <w:tr w:rsidR="00FA0944" w14:paraId="73148037" w14:textId="77777777" w:rsidTr="00DA1874">
        <w:trPr>
          <w:trHeight w:val="458"/>
        </w:trPr>
        <w:tc>
          <w:tcPr>
            <w:tcW w:w="669" w:type="dxa"/>
            <w:vMerge/>
            <w:vAlign w:val="center"/>
          </w:tcPr>
          <w:p w14:paraId="220F7BD1" w14:textId="77777777" w:rsidR="00FA0944" w:rsidRDefault="00FA0944">
            <w:pPr>
              <w:ind w:firstLine="480"/>
              <w:jc w:val="center"/>
              <w:rPr>
                <w:sz w:val="18"/>
                <w:szCs w:val="18"/>
              </w:rPr>
            </w:pPr>
          </w:p>
        </w:tc>
        <w:tc>
          <w:tcPr>
            <w:tcW w:w="4288" w:type="dxa"/>
            <w:gridSpan w:val="2"/>
            <w:vAlign w:val="center"/>
          </w:tcPr>
          <w:p w14:paraId="470DBA3F" w14:textId="59CE9391" w:rsidR="00FA0944" w:rsidRDefault="00000000">
            <w:pPr>
              <w:jc w:val="center"/>
              <w:rPr>
                <w:sz w:val="18"/>
                <w:szCs w:val="18"/>
              </w:rPr>
            </w:pPr>
            <w:r>
              <w:rPr>
                <w:sz w:val="18"/>
                <w:szCs w:val="18"/>
              </w:rPr>
              <w:t xml:space="preserve">              </w:t>
            </w:r>
            <w:r w:rsidR="002842FE">
              <w:rPr>
                <w:rFonts w:hint="eastAsia"/>
                <w:sz w:val="18"/>
                <w:szCs w:val="18"/>
              </w:rPr>
              <w:t xml:space="preserve"> </w:t>
            </w:r>
            <w:r>
              <w:rPr>
                <w:sz w:val="18"/>
                <w:szCs w:val="18"/>
              </w:rPr>
              <w:t>总活性物含量</w:t>
            </w:r>
            <w:r>
              <w:rPr>
                <w:sz w:val="18"/>
                <w:szCs w:val="18"/>
              </w:rPr>
              <w:t xml:space="preserve">/%           </w:t>
            </w:r>
            <w:r w:rsidR="00DA1874">
              <w:rPr>
                <w:rFonts w:hint="eastAsia"/>
                <w:sz w:val="18"/>
                <w:szCs w:val="18"/>
              </w:rPr>
              <w:t xml:space="preserve">  </w:t>
            </w:r>
            <w:r w:rsidR="005E3ABB">
              <w:rPr>
                <w:rFonts w:hint="eastAsia"/>
                <w:sz w:val="18"/>
                <w:szCs w:val="18"/>
              </w:rPr>
              <w:t xml:space="preserve"> </w:t>
            </w:r>
            <w:r>
              <w:rPr>
                <w:sz w:val="18"/>
                <w:szCs w:val="18"/>
              </w:rPr>
              <w:t xml:space="preserve">≥  </w:t>
            </w:r>
          </w:p>
        </w:tc>
        <w:tc>
          <w:tcPr>
            <w:tcW w:w="3562" w:type="dxa"/>
            <w:vAlign w:val="center"/>
          </w:tcPr>
          <w:p w14:paraId="74AEDB00" w14:textId="77777777" w:rsidR="00FA0944" w:rsidRDefault="00000000">
            <w:pPr>
              <w:jc w:val="center"/>
              <w:rPr>
                <w:sz w:val="18"/>
                <w:szCs w:val="18"/>
              </w:rPr>
            </w:pPr>
            <w:r>
              <w:rPr>
                <w:sz w:val="18"/>
                <w:szCs w:val="18"/>
              </w:rPr>
              <w:t>30</w:t>
            </w:r>
          </w:p>
        </w:tc>
      </w:tr>
      <w:tr w:rsidR="00FA0944" w14:paraId="7E287C50" w14:textId="77777777" w:rsidTr="00DA1874">
        <w:trPr>
          <w:trHeight w:val="458"/>
        </w:trPr>
        <w:tc>
          <w:tcPr>
            <w:tcW w:w="669" w:type="dxa"/>
            <w:vMerge/>
            <w:vAlign w:val="center"/>
          </w:tcPr>
          <w:p w14:paraId="7487A980" w14:textId="77777777" w:rsidR="00FA0944" w:rsidRDefault="00FA0944">
            <w:pPr>
              <w:ind w:firstLine="480"/>
              <w:jc w:val="center"/>
              <w:rPr>
                <w:sz w:val="18"/>
                <w:szCs w:val="18"/>
              </w:rPr>
            </w:pPr>
          </w:p>
        </w:tc>
        <w:tc>
          <w:tcPr>
            <w:tcW w:w="4288" w:type="dxa"/>
            <w:gridSpan w:val="2"/>
            <w:vAlign w:val="center"/>
          </w:tcPr>
          <w:p w14:paraId="137E8685" w14:textId="5CFA9F1D" w:rsidR="00FA0944" w:rsidRDefault="00000000">
            <w:pPr>
              <w:jc w:val="center"/>
              <w:rPr>
                <w:sz w:val="18"/>
                <w:szCs w:val="18"/>
              </w:rPr>
            </w:pPr>
            <w:r>
              <w:rPr>
                <w:sz w:val="18"/>
                <w:szCs w:val="18"/>
              </w:rPr>
              <w:t xml:space="preserve">            </w:t>
            </w:r>
            <w:r>
              <w:rPr>
                <w:sz w:val="18"/>
                <w:szCs w:val="18"/>
              </w:rPr>
              <w:t>总五氧化二磷含量</w:t>
            </w:r>
            <w:r>
              <w:rPr>
                <w:sz w:val="18"/>
                <w:szCs w:val="18"/>
              </w:rPr>
              <w:t xml:space="preserve">/%          </w:t>
            </w:r>
            <w:r w:rsidR="00DA1874">
              <w:rPr>
                <w:rFonts w:hint="eastAsia"/>
                <w:sz w:val="18"/>
                <w:szCs w:val="18"/>
              </w:rPr>
              <w:t xml:space="preserve">  </w:t>
            </w:r>
            <w:r>
              <w:rPr>
                <w:sz w:val="18"/>
                <w:szCs w:val="18"/>
              </w:rPr>
              <w:t>≤</w:t>
            </w:r>
          </w:p>
        </w:tc>
        <w:tc>
          <w:tcPr>
            <w:tcW w:w="3562" w:type="dxa"/>
            <w:vAlign w:val="center"/>
          </w:tcPr>
          <w:p w14:paraId="77FB48E5" w14:textId="77777777" w:rsidR="00FA0944" w:rsidRDefault="00000000">
            <w:pPr>
              <w:jc w:val="center"/>
              <w:rPr>
                <w:sz w:val="18"/>
                <w:szCs w:val="18"/>
              </w:rPr>
            </w:pPr>
            <w:r>
              <w:rPr>
                <w:sz w:val="18"/>
                <w:szCs w:val="18"/>
              </w:rPr>
              <w:t>0.5(</w:t>
            </w:r>
            <w:r>
              <w:rPr>
                <w:sz w:val="18"/>
                <w:szCs w:val="18"/>
              </w:rPr>
              <w:t>对无磷产品的要求</w:t>
            </w:r>
            <w:r>
              <w:rPr>
                <w:sz w:val="18"/>
                <w:szCs w:val="18"/>
              </w:rPr>
              <w:t>)</w:t>
            </w:r>
          </w:p>
        </w:tc>
      </w:tr>
      <w:tr w:rsidR="00FA0944" w14:paraId="48C4E684" w14:textId="77777777" w:rsidTr="00DA1874">
        <w:trPr>
          <w:trHeight w:val="458"/>
        </w:trPr>
        <w:tc>
          <w:tcPr>
            <w:tcW w:w="669" w:type="dxa"/>
            <w:vMerge w:val="restart"/>
            <w:vAlign w:val="center"/>
          </w:tcPr>
          <w:p w14:paraId="72360477" w14:textId="77777777" w:rsidR="00FA0944" w:rsidRDefault="00000000">
            <w:pPr>
              <w:jc w:val="center"/>
              <w:rPr>
                <w:sz w:val="18"/>
                <w:szCs w:val="18"/>
              </w:rPr>
            </w:pPr>
            <w:r>
              <w:rPr>
                <w:sz w:val="18"/>
                <w:szCs w:val="18"/>
              </w:rPr>
              <w:t>性能</w:t>
            </w:r>
          </w:p>
          <w:p w14:paraId="1D564FBB" w14:textId="77777777" w:rsidR="00FA0944" w:rsidRDefault="00000000">
            <w:pPr>
              <w:jc w:val="center"/>
              <w:rPr>
                <w:sz w:val="18"/>
                <w:szCs w:val="18"/>
              </w:rPr>
            </w:pPr>
            <w:r>
              <w:rPr>
                <w:sz w:val="18"/>
                <w:szCs w:val="18"/>
              </w:rPr>
              <w:t>指标</w:t>
            </w:r>
          </w:p>
        </w:tc>
        <w:tc>
          <w:tcPr>
            <w:tcW w:w="2445" w:type="dxa"/>
            <w:vMerge w:val="restart"/>
            <w:vAlign w:val="center"/>
          </w:tcPr>
          <w:p w14:paraId="133D6E36" w14:textId="77777777" w:rsidR="00FA0944" w:rsidRDefault="00000000">
            <w:pPr>
              <w:jc w:val="left"/>
              <w:rPr>
                <w:sz w:val="18"/>
                <w:szCs w:val="18"/>
              </w:rPr>
            </w:pPr>
            <w:r>
              <w:rPr>
                <w:sz w:val="18"/>
                <w:szCs w:val="18"/>
              </w:rPr>
              <w:t>规定染料吸附量</w:t>
            </w:r>
            <w:r>
              <w:rPr>
                <w:sz w:val="18"/>
                <w:szCs w:val="18"/>
                <w:vertAlign w:val="superscript"/>
              </w:rPr>
              <w:t xml:space="preserve">a </w:t>
            </w:r>
            <w:r>
              <w:rPr>
                <w:sz w:val="18"/>
                <w:szCs w:val="18"/>
              </w:rPr>
              <w:t>/</w:t>
            </w:r>
            <w:r>
              <w:rPr>
                <w:sz w:val="18"/>
                <w:szCs w:val="18"/>
              </w:rPr>
              <w:t>（</w:t>
            </w:r>
            <w:r>
              <w:rPr>
                <w:sz w:val="18"/>
                <w:szCs w:val="18"/>
              </w:rPr>
              <w:t>mg/g</w:t>
            </w:r>
            <w:r>
              <w:rPr>
                <w:sz w:val="18"/>
                <w:szCs w:val="18"/>
              </w:rPr>
              <w:t>）</w:t>
            </w:r>
          </w:p>
        </w:tc>
        <w:tc>
          <w:tcPr>
            <w:tcW w:w="1843" w:type="dxa"/>
            <w:vAlign w:val="center"/>
          </w:tcPr>
          <w:p w14:paraId="36B9C6B7" w14:textId="77777777" w:rsidR="00FA0944" w:rsidRDefault="00000000">
            <w:pPr>
              <w:jc w:val="center"/>
              <w:rPr>
                <w:sz w:val="18"/>
                <w:szCs w:val="18"/>
              </w:rPr>
            </w:pPr>
            <w:r>
              <w:rPr>
                <w:sz w:val="18"/>
                <w:szCs w:val="18"/>
              </w:rPr>
              <w:t xml:space="preserve"> </w:t>
            </w:r>
            <w:r>
              <w:rPr>
                <w:sz w:val="18"/>
                <w:szCs w:val="18"/>
              </w:rPr>
              <w:t>活性混合染料</w:t>
            </w:r>
            <w:r>
              <w:rPr>
                <w:sz w:val="18"/>
                <w:szCs w:val="18"/>
              </w:rPr>
              <w:t xml:space="preserve">  ≥</w:t>
            </w:r>
          </w:p>
        </w:tc>
        <w:tc>
          <w:tcPr>
            <w:tcW w:w="3562" w:type="dxa"/>
            <w:vAlign w:val="center"/>
          </w:tcPr>
          <w:p w14:paraId="10091DB2" w14:textId="77777777" w:rsidR="00FA0944" w:rsidRDefault="00000000">
            <w:pPr>
              <w:jc w:val="center"/>
              <w:rPr>
                <w:sz w:val="18"/>
                <w:szCs w:val="18"/>
              </w:rPr>
            </w:pPr>
            <w:r>
              <w:rPr>
                <w:sz w:val="18"/>
                <w:szCs w:val="18"/>
              </w:rPr>
              <w:t>45.0</w:t>
            </w:r>
          </w:p>
        </w:tc>
      </w:tr>
      <w:tr w:rsidR="00FA0944" w14:paraId="0B5DF58E" w14:textId="77777777" w:rsidTr="00DA1874">
        <w:trPr>
          <w:trHeight w:val="458"/>
        </w:trPr>
        <w:tc>
          <w:tcPr>
            <w:tcW w:w="669" w:type="dxa"/>
            <w:vMerge/>
            <w:vAlign w:val="center"/>
          </w:tcPr>
          <w:p w14:paraId="44CC4047" w14:textId="77777777" w:rsidR="00FA0944" w:rsidRDefault="00FA0944">
            <w:pPr>
              <w:ind w:firstLineChars="100" w:firstLine="180"/>
              <w:jc w:val="center"/>
              <w:rPr>
                <w:sz w:val="18"/>
                <w:szCs w:val="18"/>
              </w:rPr>
            </w:pPr>
          </w:p>
        </w:tc>
        <w:tc>
          <w:tcPr>
            <w:tcW w:w="2445" w:type="dxa"/>
            <w:vMerge/>
            <w:vAlign w:val="center"/>
          </w:tcPr>
          <w:p w14:paraId="6ACAB3F7" w14:textId="77777777" w:rsidR="00FA0944" w:rsidRDefault="00FA0944">
            <w:pPr>
              <w:jc w:val="center"/>
              <w:rPr>
                <w:sz w:val="18"/>
                <w:szCs w:val="18"/>
              </w:rPr>
            </w:pPr>
          </w:p>
        </w:tc>
        <w:tc>
          <w:tcPr>
            <w:tcW w:w="1843" w:type="dxa"/>
            <w:vAlign w:val="center"/>
          </w:tcPr>
          <w:p w14:paraId="7D66F234" w14:textId="77777777" w:rsidR="00FA0944" w:rsidRDefault="00000000">
            <w:pPr>
              <w:jc w:val="center"/>
              <w:rPr>
                <w:sz w:val="18"/>
                <w:szCs w:val="18"/>
              </w:rPr>
            </w:pPr>
            <w:r>
              <w:rPr>
                <w:sz w:val="18"/>
                <w:szCs w:val="18"/>
              </w:rPr>
              <w:t xml:space="preserve"> </w:t>
            </w:r>
            <w:r>
              <w:rPr>
                <w:sz w:val="18"/>
                <w:szCs w:val="18"/>
              </w:rPr>
              <w:t>直接混合染料</w:t>
            </w:r>
            <w:r>
              <w:rPr>
                <w:sz w:val="18"/>
                <w:szCs w:val="18"/>
              </w:rPr>
              <w:t xml:space="preserve">  ≥</w:t>
            </w:r>
          </w:p>
        </w:tc>
        <w:tc>
          <w:tcPr>
            <w:tcW w:w="3562" w:type="dxa"/>
            <w:vAlign w:val="center"/>
          </w:tcPr>
          <w:p w14:paraId="7166AF3F" w14:textId="77777777" w:rsidR="00FA0944" w:rsidRDefault="00000000">
            <w:pPr>
              <w:jc w:val="center"/>
              <w:rPr>
                <w:sz w:val="18"/>
                <w:szCs w:val="18"/>
              </w:rPr>
            </w:pPr>
            <w:r>
              <w:rPr>
                <w:sz w:val="18"/>
                <w:szCs w:val="18"/>
              </w:rPr>
              <w:t>8.0</w:t>
            </w:r>
          </w:p>
        </w:tc>
      </w:tr>
      <w:tr w:rsidR="00FA0944" w14:paraId="6F840117" w14:textId="77777777" w:rsidTr="00DA1874">
        <w:trPr>
          <w:trHeight w:val="562"/>
        </w:trPr>
        <w:tc>
          <w:tcPr>
            <w:tcW w:w="669" w:type="dxa"/>
            <w:vMerge/>
            <w:vAlign w:val="center"/>
          </w:tcPr>
          <w:p w14:paraId="2EA21131" w14:textId="77777777" w:rsidR="00FA0944" w:rsidRDefault="00FA0944">
            <w:pPr>
              <w:jc w:val="center"/>
              <w:rPr>
                <w:sz w:val="18"/>
                <w:szCs w:val="18"/>
              </w:rPr>
            </w:pPr>
          </w:p>
        </w:tc>
        <w:tc>
          <w:tcPr>
            <w:tcW w:w="4288" w:type="dxa"/>
            <w:gridSpan w:val="2"/>
            <w:vAlign w:val="center"/>
          </w:tcPr>
          <w:p w14:paraId="1A7A5F04" w14:textId="0A2A5673" w:rsidR="00FA0944" w:rsidRDefault="00000000">
            <w:pPr>
              <w:jc w:val="center"/>
              <w:rPr>
                <w:sz w:val="18"/>
                <w:szCs w:val="18"/>
              </w:rPr>
            </w:pPr>
            <w:r>
              <w:rPr>
                <w:sz w:val="18"/>
                <w:szCs w:val="18"/>
              </w:rPr>
              <w:t xml:space="preserve">           </w:t>
            </w:r>
            <w:r w:rsidR="002842FE">
              <w:rPr>
                <w:rFonts w:hint="eastAsia"/>
                <w:sz w:val="18"/>
                <w:szCs w:val="18"/>
              </w:rPr>
              <w:t xml:space="preserve"> </w:t>
            </w:r>
            <w:r>
              <w:rPr>
                <w:sz w:val="18"/>
                <w:szCs w:val="18"/>
              </w:rPr>
              <w:t xml:space="preserve"> </w:t>
            </w:r>
            <w:r>
              <w:rPr>
                <w:sz w:val="18"/>
                <w:szCs w:val="18"/>
              </w:rPr>
              <w:t>规定污布的去污力</w:t>
            </w:r>
            <w:r>
              <w:rPr>
                <w:sz w:val="18"/>
                <w:szCs w:val="18"/>
                <w:vertAlign w:val="superscript"/>
              </w:rPr>
              <w:t>b</w:t>
            </w:r>
            <w:r>
              <w:rPr>
                <w:sz w:val="18"/>
                <w:szCs w:val="18"/>
              </w:rPr>
              <w:t xml:space="preserve">           </w:t>
            </w:r>
            <w:r w:rsidR="002842FE">
              <w:rPr>
                <w:rFonts w:hint="eastAsia"/>
                <w:sz w:val="18"/>
                <w:szCs w:val="18"/>
              </w:rPr>
              <w:t xml:space="preserve"> </w:t>
            </w:r>
            <w:r>
              <w:rPr>
                <w:sz w:val="18"/>
                <w:szCs w:val="18"/>
              </w:rPr>
              <w:t>≥</w:t>
            </w:r>
          </w:p>
        </w:tc>
        <w:tc>
          <w:tcPr>
            <w:tcW w:w="3562" w:type="dxa"/>
            <w:vAlign w:val="center"/>
          </w:tcPr>
          <w:p w14:paraId="639BEA9A" w14:textId="77777777" w:rsidR="00FA0944" w:rsidRDefault="00000000">
            <w:pPr>
              <w:jc w:val="center"/>
              <w:rPr>
                <w:sz w:val="18"/>
                <w:szCs w:val="18"/>
              </w:rPr>
            </w:pPr>
            <w:r>
              <w:rPr>
                <w:sz w:val="18"/>
                <w:szCs w:val="18"/>
              </w:rPr>
              <w:t>标准洗衣液的去污力</w:t>
            </w:r>
          </w:p>
        </w:tc>
      </w:tr>
      <w:tr w:rsidR="00FA0944" w14:paraId="5F8DB0EC" w14:textId="77777777" w:rsidTr="00DA1874">
        <w:trPr>
          <w:trHeight w:val="562"/>
        </w:trPr>
        <w:tc>
          <w:tcPr>
            <w:tcW w:w="669" w:type="dxa"/>
            <w:vAlign w:val="center"/>
          </w:tcPr>
          <w:p w14:paraId="362AC5D1" w14:textId="77777777" w:rsidR="00FA0944" w:rsidRDefault="00000000">
            <w:pPr>
              <w:jc w:val="center"/>
              <w:rPr>
                <w:sz w:val="18"/>
                <w:szCs w:val="18"/>
              </w:rPr>
            </w:pPr>
            <w:r>
              <w:rPr>
                <w:sz w:val="18"/>
                <w:szCs w:val="18"/>
              </w:rPr>
              <w:t>重量指标</w:t>
            </w:r>
          </w:p>
        </w:tc>
        <w:tc>
          <w:tcPr>
            <w:tcW w:w="4288" w:type="dxa"/>
            <w:gridSpan w:val="2"/>
            <w:vAlign w:val="center"/>
          </w:tcPr>
          <w:p w14:paraId="21F3C383" w14:textId="53D23508" w:rsidR="00FA0944" w:rsidRDefault="00000000">
            <w:pPr>
              <w:jc w:val="center"/>
              <w:rPr>
                <w:sz w:val="18"/>
                <w:szCs w:val="18"/>
              </w:rPr>
            </w:pPr>
            <w:r>
              <w:rPr>
                <w:sz w:val="18"/>
                <w:szCs w:val="18"/>
              </w:rPr>
              <w:t xml:space="preserve">           </w:t>
            </w:r>
            <w:r w:rsidR="002842FE">
              <w:rPr>
                <w:rFonts w:hint="eastAsia"/>
                <w:sz w:val="18"/>
                <w:szCs w:val="18"/>
              </w:rPr>
              <w:t xml:space="preserve"> </w:t>
            </w:r>
            <w:r>
              <w:rPr>
                <w:sz w:val="18"/>
                <w:szCs w:val="18"/>
              </w:rPr>
              <w:t xml:space="preserve"> </w:t>
            </w:r>
            <w:r>
              <w:rPr>
                <w:rFonts w:hint="eastAsia"/>
                <w:sz w:val="18"/>
                <w:szCs w:val="18"/>
              </w:rPr>
              <w:t>无纺</w:t>
            </w:r>
            <w:r>
              <w:rPr>
                <w:sz w:val="18"/>
                <w:szCs w:val="18"/>
              </w:rPr>
              <w:t>吸色布占比</w:t>
            </w:r>
            <w:r>
              <w:rPr>
                <w:sz w:val="18"/>
                <w:szCs w:val="18"/>
              </w:rPr>
              <w:t xml:space="preserve">/%        </w:t>
            </w:r>
            <w:r w:rsidR="005E3ABB">
              <w:rPr>
                <w:rFonts w:hint="eastAsia"/>
                <w:sz w:val="18"/>
                <w:szCs w:val="18"/>
              </w:rPr>
              <w:t xml:space="preserve"> </w:t>
            </w:r>
            <w:r>
              <w:rPr>
                <w:sz w:val="18"/>
                <w:szCs w:val="18"/>
              </w:rPr>
              <w:t xml:space="preserve">  </w:t>
            </w:r>
            <w:r w:rsidR="002842FE">
              <w:rPr>
                <w:rFonts w:hint="eastAsia"/>
                <w:sz w:val="18"/>
                <w:szCs w:val="18"/>
              </w:rPr>
              <w:t xml:space="preserve"> </w:t>
            </w:r>
            <w:r>
              <w:rPr>
                <w:sz w:val="18"/>
                <w:szCs w:val="18"/>
              </w:rPr>
              <w:t xml:space="preserve"> ≥</w:t>
            </w:r>
          </w:p>
        </w:tc>
        <w:tc>
          <w:tcPr>
            <w:tcW w:w="3562" w:type="dxa"/>
            <w:vAlign w:val="center"/>
          </w:tcPr>
          <w:p w14:paraId="1FA0313D" w14:textId="77777777" w:rsidR="00FA0944" w:rsidRDefault="00000000">
            <w:pPr>
              <w:jc w:val="center"/>
              <w:rPr>
                <w:sz w:val="18"/>
                <w:szCs w:val="18"/>
              </w:rPr>
            </w:pPr>
            <w:r>
              <w:rPr>
                <w:sz w:val="18"/>
                <w:szCs w:val="18"/>
              </w:rPr>
              <w:t>20</w:t>
            </w:r>
          </w:p>
        </w:tc>
      </w:tr>
      <w:tr w:rsidR="00FA0944" w14:paraId="4FCD2C09" w14:textId="77777777">
        <w:trPr>
          <w:trHeight w:val="1054"/>
        </w:trPr>
        <w:tc>
          <w:tcPr>
            <w:tcW w:w="8519" w:type="dxa"/>
            <w:gridSpan w:val="4"/>
            <w:vAlign w:val="center"/>
          </w:tcPr>
          <w:p w14:paraId="59C93DAD" w14:textId="77777777" w:rsidR="00FA0944" w:rsidRDefault="00000000">
            <w:pPr>
              <w:jc w:val="left"/>
              <w:rPr>
                <w:sz w:val="18"/>
                <w:szCs w:val="18"/>
                <w:vertAlign w:val="superscript"/>
              </w:rPr>
            </w:pPr>
            <w:r>
              <w:rPr>
                <w:sz w:val="18"/>
                <w:szCs w:val="18"/>
                <w:vertAlign w:val="superscript"/>
              </w:rPr>
              <w:t>a</w:t>
            </w:r>
            <w:r>
              <w:rPr>
                <w:sz w:val="18"/>
                <w:szCs w:val="18"/>
              </w:rPr>
              <w:t>规定染料</w:t>
            </w:r>
            <w:r>
              <w:rPr>
                <w:sz w:val="18"/>
                <w:szCs w:val="18"/>
              </w:rPr>
              <w:t>:</w:t>
            </w:r>
            <w:r>
              <w:rPr>
                <w:sz w:val="18"/>
                <w:szCs w:val="18"/>
              </w:rPr>
              <w:t>活性混合染料（活性红</w:t>
            </w:r>
            <w:r>
              <w:rPr>
                <w:sz w:val="18"/>
                <w:szCs w:val="18"/>
              </w:rPr>
              <w:t>3BSN</w:t>
            </w:r>
            <w:r>
              <w:rPr>
                <w:sz w:val="18"/>
                <w:szCs w:val="18"/>
              </w:rPr>
              <w:t>、活性元青</w:t>
            </w:r>
            <w:r>
              <w:rPr>
                <w:sz w:val="18"/>
                <w:szCs w:val="18"/>
              </w:rPr>
              <w:t>B</w:t>
            </w:r>
            <w:r>
              <w:rPr>
                <w:sz w:val="18"/>
                <w:szCs w:val="18"/>
              </w:rPr>
              <w:t>、活性黑</w:t>
            </w:r>
            <w:r>
              <w:rPr>
                <w:sz w:val="18"/>
                <w:szCs w:val="18"/>
              </w:rPr>
              <w:t>WNN</w:t>
            </w:r>
            <w:r>
              <w:rPr>
                <w:sz w:val="18"/>
                <w:szCs w:val="18"/>
              </w:rPr>
              <w:t>）</w:t>
            </w:r>
            <w:r>
              <w:rPr>
                <w:sz w:val="18"/>
                <w:szCs w:val="18"/>
              </w:rPr>
              <w:t>,</w:t>
            </w:r>
            <w:r>
              <w:rPr>
                <w:sz w:val="18"/>
                <w:szCs w:val="18"/>
              </w:rPr>
              <w:t>直接混合染料（直接混纺红玉</w:t>
            </w:r>
            <w:r>
              <w:rPr>
                <w:sz w:val="18"/>
                <w:szCs w:val="18"/>
              </w:rPr>
              <w:t>D-BLL</w:t>
            </w:r>
            <w:r>
              <w:rPr>
                <w:sz w:val="18"/>
                <w:szCs w:val="18"/>
              </w:rPr>
              <w:t>、直接混纺蓝</w:t>
            </w:r>
            <w:r>
              <w:rPr>
                <w:sz w:val="18"/>
                <w:szCs w:val="18"/>
              </w:rPr>
              <w:t>D-3GL</w:t>
            </w:r>
            <w:r>
              <w:rPr>
                <w:sz w:val="18"/>
                <w:szCs w:val="18"/>
              </w:rPr>
              <w:t>）。</w:t>
            </w:r>
          </w:p>
          <w:p w14:paraId="184FFDED" w14:textId="77777777" w:rsidR="00FA0944" w:rsidRDefault="00000000">
            <w:pPr>
              <w:jc w:val="left"/>
              <w:rPr>
                <w:sz w:val="18"/>
                <w:szCs w:val="18"/>
              </w:rPr>
            </w:pPr>
            <w:r>
              <w:rPr>
                <w:sz w:val="18"/>
                <w:szCs w:val="18"/>
                <w:vertAlign w:val="superscript"/>
              </w:rPr>
              <w:t>b</w:t>
            </w:r>
            <w:r>
              <w:rPr>
                <w:sz w:val="18"/>
                <w:szCs w:val="18"/>
              </w:rPr>
              <w:t>规定污布是指</w:t>
            </w:r>
            <w:r>
              <w:rPr>
                <w:sz w:val="18"/>
                <w:szCs w:val="18"/>
              </w:rPr>
              <w:t>GB/T 13174</w:t>
            </w:r>
            <w:r>
              <w:rPr>
                <w:sz w:val="18"/>
                <w:szCs w:val="18"/>
              </w:rPr>
              <w:t>确定的</w:t>
            </w:r>
            <w:r>
              <w:rPr>
                <w:sz w:val="18"/>
                <w:szCs w:val="18"/>
              </w:rPr>
              <w:t>JB-01</w:t>
            </w:r>
            <w:r>
              <w:rPr>
                <w:sz w:val="18"/>
                <w:szCs w:val="18"/>
              </w:rPr>
              <w:t>、</w:t>
            </w:r>
            <w:r>
              <w:rPr>
                <w:sz w:val="18"/>
                <w:szCs w:val="18"/>
              </w:rPr>
              <w:t>JB-02</w:t>
            </w:r>
            <w:r>
              <w:rPr>
                <w:sz w:val="18"/>
                <w:szCs w:val="18"/>
              </w:rPr>
              <w:t>、</w:t>
            </w:r>
            <w:r>
              <w:rPr>
                <w:sz w:val="18"/>
                <w:szCs w:val="18"/>
              </w:rPr>
              <w:t>JB-03</w:t>
            </w:r>
            <w:r>
              <w:rPr>
                <w:sz w:val="18"/>
                <w:szCs w:val="18"/>
              </w:rPr>
              <w:t>三种污布。试验溶液浓度按</w:t>
            </w:r>
            <w:r>
              <w:rPr>
                <w:sz w:val="18"/>
                <w:szCs w:val="18"/>
              </w:rPr>
              <w:t>GB/T 13174</w:t>
            </w:r>
            <w:r>
              <w:rPr>
                <w:sz w:val="18"/>
                <w:szCs w:val="18"/>
              </w:rPr>
              <w:t>标准洗衣液</w:t>
            </w:r>
            <w:r>
              <w:rPr>
                <w:sz w:val="18"/>
                <w:szCs w:val="18"/>
              </w:rPr>
              <w:t>0.2% ,</w:t>
            </w:r>
            <w:r>
              <w:rPr>
                <w:sz w:val="18"/>
                <w:szCs w:val="18"/>
              </w:rPr>
              <w:t>试验样品</w:t>
            </w:r>
            <w:r>
              <w:rPr>
                <w:sz w:val="18"/>
                <w:szCs w:val="18"/>
              </w:rPr>
              <w:t>0.2%</w:t>
            </w:r>
            <w:r>
              <w:rPr>
                <w:sz w:val="18"/>
                <w:szCs w:val="18"/>
              </w:rPr>
              <w:t>。</w:t>
            </w:r>
          </w:p>
        </w:tc>
      </w:tr>
    </w:tbl>
    <w:p w14:paraId="0D1F454A" w14:textId="77777777" w:rsidR="00FA0944" w:rsidRDefault="00000000">
      <w:pPr>
        <w:pStyle w:val="afc"/>
        <w:numPr>
          <w:ilvl w:val="1"/>
          <w:numId w:val="9"/>
        </w:numPr>
        <w:spacing w:before="120" w:after="120" w:line="300" w:lineRule="auto"/>
        <w:jc w:val="left"/>
        <w:rPr>
          <w:rFonts w:ascii="Times New Roman"/>
        </w:rPr>
      </w:pPr>
      <w:r>
        <w:rPr>
          <w:rFonts w:ascii="Times New Roman"/>
        </w:rPr>
        <w:t>抑菌性能指标</w:t>
      </w:r>
    </w:p>
    <w:p w14:paraId="03B1F091" w14:textId="015DE86A" w:rsidR="00FA0944" w:rsidRDefault="00000000">
      <w:pPr>
        <w:spacing w:line="360" w:lineRule="auto"/>
        <w:ind w:firstLineChars="200" w:firstLine="420"/>
        <w:rPr>
          <w:color w:val="FF0000"/>
          <w:szCs w:val="21"/>
        </w:rPr>
      </w:pPr>
      <w:r>
        <w:rPr>
          <w:szCs w:val="21"/>
        </w:rPr>
        <w:t>具有抑菌作用的产品，抑菌性</w:t>
      </w:r>
      <w:r w:rsidR="00376A5F">
        <w:rPr>
          <w:rFonts w:hint="eastAsia"/>
          <w:szCs w:val="21"/>
        </w:rPr>
        <w:t>能</w:t>
      </w:r>
      <w:r>
        <w:rPr>
          <w:szCs w:val="21"/>
        </w:rPr>
        <w:t>应</w:t>
      </w:r>
      <w:r>
        <w:t>符合</w:t>
      </w:r>
      <w:r>
        <w:rPr>
          <w:szCs w:val="21"/>
        </w:rPr>
        <w:t>表</w:t>
      </w:r>
      <w:r>
        <w:t>2</w:t>
      </w:r>
      <w:r>
        <w:rPr>
          <w:szCs w:val="21"/>
        </w:rPr>
        <w:t>的规定。</w:t>
      </w:r>
    </w:p>
    <w:p w14:paraId="5C66A57E" w14:textId="77777777" w:rsidR="00FA0944" w:rsidRDefault="00000000">
      <w:pPr>
        <w:pStyle w:val="a0"/>
        <w:numPr>
          <w:ilvl w:val="0"/>
          <w:numId w:val="8"/>
        </w:numPr>
        <w:tabs>
          <w:tab w:val="left" w:pos="360"/>
        </w:tabs>
        <w:spacing w:before="120" w:after="120"/>
        <w:rPr>
          <w:rFonts w:ascii="Times New Roman"/>
        </w:rPr>
      </w:pPr>
      <w:r>
        <w:rPr>
          <w:rFonts w:ascii="Times New Roman"/>
        </w:rPr>
        <w:t>抑菌性能指标</w:t>
      </w:r>
    </w:p>
    <w:tbl>
      <w:tblPr>
        <w:tblStyle w:val="af5"/>
        <w:tblW w:w="0" w:type="auto"/>
        <w:tblLook w:val="04A0" w:firstRow="1" w:lastRow="0" w:firstColumn="1" w:lastColumn="0" w:noHBand="0" w:noVBand="1"/>
      </w:tblPr>
      <w:tblGrid>
        <w:gridCol w:w="3093"/>
        <w:gridCol w:w="1737"/>
        <w:gridCol w:w="1561"/>
        <w:gridCol w:w="2131"/>
      </w:tblGrid>
      <w:tr w:rsidR="00FA0944" w14:paraId="61289FF1" w14:textId="77777777">
        <w:trPr>
          <w:trHeight w:val="467"/>
        </w:trPr>
        <w:tc>
          <w:tcPr>
            <w:tcW w:w="3093" w:type="dxa"/>
            <w:vAlign w:val="center"/>
          </w:tcPr>
          <w:p w14:paraId="68E7C32A" w14:textId="77777777" w:rsidR="00FA0944" w:rsidRDefault="00000000">
            <w:pPr>
              <w:jc w:val="center"/>
              <w:rPr>
                <w:sz w:val="18"/>
                <w:szCs w:val="18"/>
              </w:rPr>
            </w:pPr>
            <w:r>
              <w:rPr>
                <w:sz w:val="18"/>
                <w:szCs w:val="18"/>
              </w:rPr>
              <w:t>项目</w:t>
            </w:r>
            <w:r>
              <w:rPr>
                <w:sz w:val="18"/>
                <w:szCs w:val="18"/>
                <w:vertAlign w:val="superscript"/>
              </w:rPr>
              <w:t>a</w:t>
            </w:r>
          </w:p>
        </w:tc>
        <w:tc>
          <w:tcPr>
            <w:tcW w:w="1737" w:type="dxa"/>
            <w:vAlign w:val="center"/>
          </w:tcPr>
          <w:p w14:paraId="1E370DC8" w14:textId="77777777" w:rsidR="00FA0944" w:rsidRDefault="00000000">
            <w:pPr>
              <w:jc w:val="center"/>
              <w:rPr>
                <w:sz w:val="18"/>
                <w:szCs w:val="18"/>
              </w:rPr>
            </w:pPr>
            <w:r>
              <w:rPr>
                <w:sz w:val="18"/>
                <w:szCs w:val="18"/>
              </w:rPr>
              <w:t>作用浓度</w:t>
            </w:r>
          </w:p>
        </w:tc>
        <w:tc>
          <w:tcPr>
            <w:tcW w:w="1561" w:type="dxa"/>
            <w:vAlign w:val="center"/>
          </w:tcPr>
          <w:p w14:paraId="41187E3C" w14:textId="77777777" w:rsidR="00FA0944" w:rsidRDefault="00000000">
            <w:pPr>
              <w:jc w:val="center"/>
              <w:rPr>
                <w:sz w:val="18"/>
                <w:szCs w:val="18"/>
              </w:rPr>
            </w:pPr>
            <w:r>
              <w:rPr>
                <w:sz w:val="18"/>
                <w:szCs w:val="18"/>
              </w:rPr>
              <w:t>作用时间</w:t>
            </w:r>
            <w:r>
              <w:rPr>
                <w:sz w:val="18"/>
                <w:szCs w:val="18"/>
              </w:rPr>
              <w:t>/min</w:t>
            </w:r>
          </w:p>
        </w:tc>
        <w:tc>
          <w:tcPr>
            <w:tcW w:w="2131" w:type="dxa"/>
            <w:vAlign w:val="center"/>
          </w:tcPr>
          <w:p w14:paraId="63AF8FB3" w14:textId="77777777" w:rsidR="00FA0944" w:rsidRDefault="00000000">
            <w:pPr>
              <w:jc w:val="center"/>
              <w:rPr>
                <w:sz w:val="18"/>
                <w:szCs w:val="18"/>
              </w:rPr>
            </w:pPr>
            <w:r>
              <w:rPr>
                <w:sz w:val="18"/>
                <w:szCs w:val="18"/>
              </w:rPr>
              <w:t>抑菌率</w:t>
            </w:r>
          </w:p>
        </w:tc>
      </w:tr>
      <w:tr w:rsidR="00FA0944" w14:paraId="51361437" w14:textId="77777777">
        <w:trPr>
          <w:trHeight w:val="417"/>
        </w:trPr>
        <w:tc>
          <w:tcPr>
            <w:tcW w:w="3093" w:type="dxa"/>
            <w:vAlign w:val="center"/>
          </w:tcPr>
          <w:p w14:paraId="6E8CB930" w14:textId="20B351BE" w:rsidR="00FA0944" w:rsidRDefault="00000000">
            <w:pPr>
              <w:jc w:val="center"/>
              <w:rPr>
                <w:sz w:val="18"/>
                <w:szCs w:val="18"/>
              </w:rPr>
            </w:pPr>
            <w:r>
              <w:rPr>
                <w:sz w:val="18"/>
                <w:szCs w:val="18"/>
              </w:rPr>
              <w:t>大肠杆菌</w:t>
            </w:r>
            <w:r w:rsidR="00865942">
              <w:rPr>
                <w:rFonts w:hint="eastAsia"/>
                <w:sz w:val="18"/>
                <w:szCs w:val="18"/>
              </w:rPr>
              <w:t>（</w:t>
            </w:r>
            <w:r>
              <w:rPr>
                <w:sz w:val="18"/>
                <w:szCs w:val="18"/>
              </w:rPr>
              <w:t>ATCC 25922</w:t>
            </w:r>
            <w:r w:rsidR="00865942">
              <w:rPr>
                <w:rFonts w:hint="eastAsia"/>
                <w:sz w:val="18"/>
                <w:szCs w:val="18"/>
              </w:rPr>
              <w:t>）</w:t>
            </w:r>
          </w:p>
        </w:tc>
        <w:tc>
          <w:tcPr>
            <w:tcW w:w="1737" w:type="dxa"/>
            <w:vAlign w:val="center"/>
          </w:tcPr>
          <w:p w14:paraId="27A96212" w14:textId="77777777" w:rsidR="00FA0944" w:rsidRDefault="00000000">
            <w:pPr>
              <w:jc w:val="center"/>
              <w:rPr>
                <w:sz w:val="18"/>
                <w:szCs w:val="18"/>
              </w:rPr>
            </w:pPr>
            <w:r>
              <w:rPr>
                <w:sz w:val="18"/>
                <w:szCs w:val="18"/>
              </w:rPr>
              <w:t>1:100</w:t>
            </w:r>
          </w:p>
        </w:tc>
        <w:tc>
          <w:tcPr>
            <w:tcW w:w="1561" w:type="dxa"/>
            <w:vAlign w:val="center"/>
          </w:tcPr>
          <w:p w14:paraId="28241B4A" w14:textId="77777777" w:rsidR="00FA0944" w:rsidRDefault="00000000">
            <w:pPr>
              <w:jc w:val="center"/>
              <w:rPr>
                <w:sz w:val="18"/>
                <w:szCs w:val="18"/>
              </w:rPr>
            </w:pPr>
            <w:r>
              <w:rPr>
                <w:sz w:val="18"/>
                <w:szCs w:val="18"/>
              </w:rPr>
              <w:t>20</w:t>
            </w:r>
          </w:p>
        </w:tc>
        <w:tc>
          <w:tcPr>
            <w:tcW w:w="2131" w:type="dxa"/>
            <w:vAlign w:val="center"/>
          </w:tcPr>
          <w:p w14:paraId="0C37BC0E" w14:textId="77777777" w:rsidR="00FA0944" w:rsidRDefault="00000000">
            <w:pPr>
              <w:jc w:val="center"/>
              <w:rPr>
                <w:sz w:val="18"/>
                <w:szCs w:val="18"/>
              </w:rPr>
            </w:pPr>
            <w:r>
              <w:rPr>
                <w:sz w:val="18"/>
                <w:szCs w:val="18"/>
              </w:rPr>
              <w:t>≥50%</w:t>
            </w:r>
          </w:p>
        </w:tc>
      </w:tr>
      <w:tr w:rsidR="00FA0944" w14:paraId="212F49D2" w14:textId="77777777">
        <w:trPr>
          <w:trHeight w:val="423"/>
        </w:trPr>
        <w:tc>
          <w:tcPr>
            <w:tcW w:w="3093" w:type="dxa"/>
            <w:vAlign w:val="center"/>
          </w:tcPr>
          <w:p w14:paraId="22B2657D" w14:textId="77777777" w:rsidR="00FA0944" w:rsidRDefault="00000000">
            <w:pPr>
              <w:jc w:val="center"/>
              <w:rPr>
                <w:sz w:val="18"/>
                <w:szCs w:val="18"/>
              </w:rPr>
            </w:pPr>
            <w:r>
              <w:rPr>
                <w:sz w:val="18"/>
                <w:szCs w:val="18"/>
              </w:rPr>
              <w:t>金黄色葡萄球菌（</w:t>
            </w:r>
            <w:r>
              <w:rPr>
                <w:sz w:val="18"/>
                <w:szCs w:val="18"/>
              </w:rPr>
              <w:t>ATCC 6538</w:t>
            </w:r>
            <w:r>
              <w:rPr>
                <w:sz w:val="18"/>
                <w:szCs w:val="18"/>
              </w:rPr>
              <w:t>）</w:t>
            </w:r>
          </w:p>
        </w:tc>
        <w:tc>
          <w:tcPr>
            <w:tcW w:w="1737" w:type="dxa"/>
            <w:vAlign w:val="center"/>
          </w:tcPr>
          <w:p w14:paraId="30EC2847" w14:textId="77777777" w:rsidR="00FA0944" w:rsidRDefault="00000000">
            <w:pPr>
              <w:jc w:val="center"/>
              <w:rPr>
                <w:sz w:val="18"/>
                <w:szCs w:val="18"/>
              </w:rPr>
            </w:pPr>
            <w:r>
              <w:rPr>
                <w:sz w:val="18"/>
                <w:szCs w:val="18"/>
              </w:rPr>
              <w:t>1:100</w:t>
            </w:r>
          </w:p>
        </w:tc>
        <w:tc>
          <w:tcPr>
            <w:tcW w:w="1561" w:type="dxa"/>
            <w:vAlign w:val="center"/>
          </w:tcPr>
          <w:p w14:paraId="6ED20AA6" w14:textId="77777777" w:rsidR="00FA0944" w:rsidRDefault="00000000">
            <w:pPr>
              <w:jc w:val="center"/>
              <w:rPr>
                <w:sz w:val="18"/>
                <w:szCs w:val="18"/>
              </w:rPr>
            </w:pPr>
            <w:r>
              <w:rPr>
                <w:sz w:val="18"/>
                <w:szCs w:val="18"/>
              </w:rPr>
              <w:t>20</w:t>
            </w:r>
          </w:p>
        </w:tc>
        <w:tc>
          <w:tcPr>
            <w:tcW w:w="2131" w:type="dxa"/>
            <w:vAlign w:val="center"/>
          </w:tcPr>
          <w:p w14:paraId="0AEF80DD" w14:textId="77777777" w:rsidR="00FA0944" w:rsidRDefault="00000000">
            <w:pPr>
              <w:jc w:val="center"/>
              <w:rPr>
                <w:sz w:val="18"/>
                <w:szCs w:val="18"/>
              </w:rPr>
            </w:pPr>
            <w:r>
              <w:rPr>
                <w:sz w:val="18"/>
                <w:szCs w:val="18"/>
              </w:rPr>
              <w:t>≥50%</w:t>
            </w:r>
          </w:p>
        </w:tc>
      </w:tr>
      <w:tr w:rsidR="00FA0944" w14:paraId="79ADDD91" w14:textId="77777777">
        <w:trPr>
          <w:trHeight w:val="415"/>
        </w:trPr>
        <w:tc>
          <w:tcPr>
            <w:tcW w:w="8522" w:type="dxa"/>
            <w:gridSpan w:val="4"/>
            <w:vAlign w:val="center"/>
          </w:tcPr>
          <w:p w14:paraId="2E2FC539" w14:textId="77777777" w:rsidR="00FA0944" w:rsidRDefault="00000000">
            <w:pPr>
              <w:spacing w:beforeLines="50" w:before="120" w:afterLines="50" w:after="120"/>
              <w:ind w:firstLine="34"/>
              <w:rPr>
                <w:sz w:val="18"/>
                <w:szCs w:val="18"/>
              </w:rPr>
            </w:pPr>
            <w:r>
              <w:rPr>
                <w:sz w:val="18"/>
                <w:szCs w:val="18"/>
                <w:vertAlign w:val="superscript"/>
              </w:rPr>
              <w:t>a</w:t>
            </w:r>
            <w:r>
              <w:rPr>
                <w:sz w:val="18"/>
                <w:szCs w:val="18"/>
              </w:rPr>
              <w:t>如产品标明对真菌的作用，还需增加对白色念珠菌（</w:t>
            </w:r>
            <w:r>
              <w:rPr>
                <w:sz w:val="18"/>
                <w:szCs w:val="18"/>
              </w:rPr>
              <w:t>ATCC 10231</w:t>
            </w:r>
            <w:r>
              <w:rPr>
                <w:sz w:val="18"/>
                <w:szCs w:val="18"/>
              </w:rPr>
              <w:t>）的抑菌测试，要求抑菌率</w:t>
            </w:r>
            <w:r>
              <w:rPr>
                <w:sz w:val="18"/>
                <w:szCs w:val="18"/>
              </w:rPr>
              <w:t>≥50%</w:t>
            </w:r>
          </w:p>
        </w:tc>
      </w:tr>
    </w:tbl>
    <w:p w14:paraId="1E19F6EB" w14:textId="77777777" w:rsidR="00FA0944" w:rsidRDefault="00000000">
      <w:pPr>
        <w:pStyle w:val="afc"/>
        <w:numPr>
          <w:ilvl w:val="1"/>
          <w:numId w:val="9"/>
        </w:numPr>
        <w:spacing w:before="120" w:after="120"/>
        <w:jc w:val="left"/>
        <w:rPr>
          <w:rFonts w:ascii="Times New Roman"/>
        </w:rPr>
      </w:pPr>
      <w:r>
        <w:rPr>
          <w:rFonts w:ascii="Times New Roman"/>
        </w:rPr>
        <w:t>定量包装要求</w:t>
      </w:r>
    </w:p>
    <w:p w14:paraId="652256EE" w14:textId="77777777" w:rsidR="00FA0944" w:rsidRDefault="00000000">
      <w:pPr>
        <w:spacing w:line="300" w:lineRule="auto"/>
        <w:ind w:firstLine="420"/>
      </w:pPr>
      <w:r>
        <w:t>净含量应符合</w:t>
      </w:r>
      <w:r>
        <w:t>JJF 1070</w:t>
      </w:r>
      <w:r>
        <w:t>要求。</w:t>
      </w:r>
    </w:p>
    <w:p w14:paraId="716DE630" w14:textId="07F51C6C" w:rsidR="00FA0944" w:rsidRDefault="00000000">
      <w:pPr>
        <w:spacing w:line="300" w:lineRule="auto"/>
        <w:ind w:firstLine="420"/>
      </w:pPr>
      <w:r>
        <w:t>产品可使用计数单位标注其净含量。例如：</w:t>
      </w:r>
      <w:r>
        <w:t>30</w:t>
      </w:r>
      <w:r>
        <w:t>片</w:t>
      </w:r>
      <w:r>
        <w:t>/</w:t>
      </w:r>
      <w:r>
        <w:t>盒，</w:t>
      </w:r>
      <w:r>
        <w:t>110</w:t>
      </w:r>
      <w:r w:rsidR="00865942" w:rsidRPr="00865942">
        <w:t xml:space="preserve"> </w:t>
      </w:r>
      <w:r w:rsidR="00865942">
        <w:t>mm</w:t>
      </w:r>
      <w:r>
        <w:t>×210 mm</w:t>
      </w:r>
      <w:r>
        <w:t>。</w:t>
      </w:r>
    </w:p>
    <w:p w14:paraId="2024B7B3" w14:textId="77777777" w:rsidR="00FA0944" w:rsidRDefault="00000000">
      <w:pPr>
        <w:pStyle w:val="a7"/>
        <w:numPr>
          <w:ilvl w:val="0"/>
          <w:numId w:val="9"/>
        </w:numPr>
        <w:spacing w:beforeLines="100" w:before="240" w:afterLines="100" w:after="240"/>
        <w:rPr>
          <w:rFonts w:ascii="Times New Roman"/>
        </w:rPr>
      </w:pPr>
      <w:r>
        <w:rPr>
          <w:rFonts w:ascii="Times New Roman"/>
        </w:rPr>
        <w:t>试验方法</w:t>
      </w:r>
    </w:p>
    <w:p w14:paraId="3BA81609" w14:textId="77777777" w:rsidR="00FA0944" w:rsidRDefault="00000000">
      <w:pPr>
        <w:pStyle w:val="afc"/>
        <w:numPr>
          <w:ilvl w:val="1"/>
          <w:numId w:val="9"/>
        </w:numPr>
        <w:spacing w:before="120" w:after="120"/>
        <w:jc w:val="left"/>
        <w:rPr>
          <w:rFonts w:ascii="Times New Roman"/>
          <w:bCs/>
          <w:color w:val="000000"/>
          <w:szCs w:val="21"/>
        </w:rPr>
      </w:pPr>
      <w:r>
        <w:rPr>
          <w:rFonts w:ascii="Times New Roman"/>
          <w:bCs/>
          <w:color w:val="000000"/>
          <w:szCs w:val="21"/>
        </w:rPr>
        <w:t>试验份</w:t>
      </w:r>
    </w:p>
    <w:p w14:paraId="3A62201A" w14:textId="77777777" w:rsidR="00FA0944" w:rsidRDefault="00000000">
      <w:pPr>
        <w:pStyle w:val="afffb"/>
        <w:spacing w:line="360" w:lineRule="auto"/>
      </w:pPr>
      <w:r>
        <w:t>取试验用样品适量，用剪刀或粉碎机将样品切成小块状待用。用于</w:t>
      </w:r>
      <w:r>
        <w:t>pH</w:t>
      </w:r>
      <w:r>
        <w:t>值、总活性物含量、总五氧化二磷含量测定。</w:t>
      </w:r>
    </w:p>
    <w:p w14:paraId="61764E33" w14:textId="77777777" w:rsidR="00FA0944" w:rsidRDefault="00000000">
      <w:pPr>
        <w:pStyle w:val="afc"/>
        <w:numPr>
          <w:ilvl w:val="1"/>
          <w:numId w:val="9"/>
        </w:numPr>
        <w:spacing w:before="120" w:after="120"/>
        <w:jc w:val="left"/>
        <w:rPr>
          <w:rFonts w:ascii="Times New Roman"/>
          <w:bCs/>
          <w:color w:val="000000"/>
          <w:szCs w:val="21"/>
        </w:rPr>
      </w:pPr>
      <w:r>
        <w:rPr>
          <w:rFonts w:ascii="Times New Roman"/>
          <w:bCs/>
          <w:color w:val="000000"/>
          <w:szCs w:val="21"/>
        </w:rPr>
        <w:t>外观</w:t>
      </w:r>
    </w:p>
    <w:p w14:paraId="12A2E2AE" w14:textId="77777777" w:rsidR="00FA0944" w:rsidRDefault="00000000">
      <w:pPr>
        <w:pStyle w:val="af9"/>
        <w:tabs>
          <w:tab w:val="left" w:pos="3854"/>
        </w:tabs>
        <w:ind w:left="0" w:firstLineChars="200" w:firstLine="420"/>
        <w:rPr>
          <w:rFonts w:ascii="Times New Roman" w:hAnsi="Times New Roman"/>
          <w:sz w:val="22"/>
          <w:szCs w:val="28"/>
        </w:rPr>
      </w:pPr>
      <w:r>
        <w:rPr>
          <w:rFonts w:ascii="Times New Roman" w:hAnsi="Times New Roman"/>
          <w:szCs w:val="22"/>
        </w:rPr>
        <w:t>随机取出防串染洗衣片样品（不少于</w:t>
      </w:r>
      <w:r>
        <w:rPr>
          <w:rFonts w:ascii="Times New Roman" w:hAnsi="Times New Roman"/>
          <w:kern w:val="2"/>
          <w:szCs w:val="24"/>
        </w:rPr>
        <w:t>3</w:t>
      </w:r>
      <w:r>
        <w:rPr>
          <w:rFonts w:ascii="Times New Roman" w:hAnsi="Times New Roman"/>
          <w:szCs w:val="22"/>
        </w:rPr>
        <w:t>片）</w:t>
      </w:r>
      <w:r>
        <w:rPr>
          <w:rFonts w:ascii="Times New Roman" w:hAnsi="Times New Roman"/>
        </w:rPr>
        <w:t>，按</w:t>
      </w:r>
      <w:r>
        <w:rPr>
          <w:rFonts w:ascii="Times New Roman" w:hAnsi="Times New Roman"/>
          <w:kern w:val="2"/>
          <w:szCs w:val="24"/>
        </w:rPr>
        <w:t>GB/T 13173</w:t>
      </w:r>
      <w:r>
        <w:rPr>
          <w:rFonts w:ascii="Times New Roman" w:hAnsi="Times New Roman"/>
        </w:rPr>
        <w:t>相关规定评估。</w:t>
      </w:r>
    </w:p>
    <w:p w14:paraId="0DDEF31F" w14:textId="77777777" w:rsidR="00FA0944" w:rsidRDefault="00000000">
      <w:pPr>
        <w:pStyle w:val="afc"/>
        <w:numPr>
          <w:ilvl w:val="1"/>
          <w:numId w:val="9"/>
        </w:numPr>
        <w:spacing w:before="120" w:after="120"/>
        <w:jc w:val="left"/>
        <w:rPr>
          <w:rFonts w:ascii="Times New Roman"/>
          <w:bCs/>
          <w:color w:val="000000"/>
          <w:szCs w:val="21"/>
        </w:rPr>
      </w:pPr>
      <w:r>
        <w:rPr>
          <w:rFonts w:ascii="Times New Roman"/>
          <w:bCs/>
          <w:color w:val="000000"/>
          <w:szCs w:val="21"/>
        </w:rPr>
        <w:t>稳定性</w:t>
      </w:r>
    </w:p>
    <w:p w14:paraId="3D21B1CC" w14:textId="77777777" w:rsidR="00FA0944" w:rsidRDefault="00000000">
      <w:pPr>
        <w:pStyle w:val="afb"/>
        <w:numPr>
          <w:ilvl w:val="0"/>
          <w:numId w:val="0"/>
        </w:numPr>
        <w:spacing w:before="120" w:after="120"/>
        <w:jc w:val="left"/>
        <w:rPr>
          <w:rFonts w:ascii="Times New Roman"/>
          <w:bCs/>
          <w:color w:val="000000"/>
          <w:szCs w:val="21"/>
        </w:rPr>
      </w:pPr>
      <w:r>
        <w:rPr>
          <w:rFonts w:ascii="Times New Roman"/>
          <w:bCs/>
          <w:color w:val="000000"/>
          <w:szCs w:val="21"/>
        </w:rPr>
        <w:t>5.3.1</w:t>
      </w:r>
      <w:r>
        <w:rPr>
          <w:rFonts w:ascii="Times New Roman"/>
          <w:bCs/>
          <w:color w:val="000000"/>
          <w:szCs w:val="21"/>
        </w:rPr>
        <w:t>耐热</w:t>
      </w:r>
    </w:p>
    <w:p w14:paraId="50AEA82A" w14:textId="11185926" w:rsidR="00FA0944" w:rsidRDefault="00000000">
      <w:pPr>
        <w:pStyle w:val="afffb"/>
        <w:spacing w:line="360" w:lineRule="auto"/>
        <w:jc w:val="left"/>
        <w:rPr>
          <w:sz w:val="24"/>
          <w:szCs w:val="32"/>
        </w:rPr>
      </w:pPr>
      <w:r>
        <w:rPr>
          <w:szCs w:val="21"/>
        </w:rPr>
        <w:t>随机取出</w:t>
      </w:r>
      <w:r>
        <w:t>10</w:t>
      </w:r>
      <w:r>
        <w:rPr>
          <w:szCs w:val="21"/>
        </w:rPr>
        <w:t>片</w:t>
      </w:r>
      <w:r>
        <w:rPr>
          <w:szCs w:val="22"/>
        </w:rPr>
        <w:t>防串染</w:t>
      </w:r>
      <w:r>
        <w:rPr>
          <w:szCs w:val="21"/>
        </w:rPr>
        <w:t>洗衣片样品，用透明密封袋包装，置于</w:t>
      </w:r>
      <w:r w:rsidR="00865942">
        <w:rPr>
          <w:rFonts w:hint="eastAsia"/>
        </w:rPr>
        <w:t>（</w:t>
      </w:r>
      <w:r>
        <w:t>40</w:t>
      </w:r>
      <w:r w:rsidR="00865942">
        <w:rPr>
          <w:rFonts w:hint="eastAsia"/>
        </w:rPr>
        <w:t xml:space="preserve"> </w:t>
      </w:r>
      <w:r>
        <w:t>±</w:t>
      </w:r>
      <w:r w:rsidR="00865942">
        <w:rPr>
          <w:rFonts w:hint="eastAsia"/>
        </w:rPr>
        <w:t xml:space="preserve"> </w:t>
      </w:r>
      <w:r>
        <w:t>2</w:t>
      </w:r>
      <w:r w:rsidR="00865942">
        <w:rPr>
          <w:rFonts w:hint="eastAsia"/>
        </w:rPr>
        <w:t>）</w:t>
      </w:r>
      <w:r>
        <w:t>℃</w:t>
      </w:r>
      <w:r>
        <w:rPr>
          <w:szCs w:val="21"/>
        </w:rPr>
        <w:t>的保温箱中</w:t>
      </w:r>
      <w:r>
        <w:t>24 h</w:t>
      </w:r>
      <w:r>
        <w:rPr>
          <w:szCs w:val="21"/>
        </w:rPr>
        <w:t>，取</w:t>
      </w:r>
      <w:r>
        <w:rPr>
          <w:szCs w:val="21"/>
        </w:rPr>
        <w:lastRenderedPageBreak/>
        <w:t>出恢复室温后观察。计算不合格率。</w:t>
      </w:r>
    </w:p>
    <w:p w14:paraId="577630EB" w14:textId="77777777" w:rsidR="00FA0944" w:rsidRDefault="00000000">
      <w:pPr>
        <w:pStyle w:val="afb"/>
        <w:numPr>
          <w:ilvl w:val="0"/>
          <w:numId w:val="0"/>
        </w:numPr>
        <w:spacing w:before="120" w:after="120"/>
        <w:jc w:val="left"/>
        <w:rPr>
          <w:rFonts w:ascii="Times New Roman"/>
          <w:bCs/>
          <w:color w:val="000000"/>
          <w:szCs w:val="21"/>
        </w:rPr>
      </w:pPr>
      <w:r>
        <w:rPr>
          <w:rFonts w:ascii="Times New Roman"/>
          <w:bCs/>
          <w:color w:val="000000"/>
          <w:szCs w:val="21"/>
        </w:rPr>
        <w:t>5.3.2</w:t>
      </w:r>
      <w:r>
        <w:rPr>
          <w:rFonts w:ascii="Times New Roman"/>
          <w:bCs/>
          <w:color w:val="000000"/>
          <w:szCs w:val="21"/>
        </w:rPr>
        <w:t>耐寒</w:t>
      </w:r>
    </w:p>
    <w:p w14:paraId="6C3F8328" w14:textId="05E2EB55" w:rsidR="00FA0944" w:rsidRDefault="00000000">
      <w:pPr>
        <w:spacing w:line="360" w:lineRule="auto"/>
        <w:ind w:firstLineChars="200" w:firstLine="420"/>
        <w:jc w:val="left"/>
        <w:rPr>
          <w:szCs w:val="21"/>
        </w:rPr>
      </w:pPr>
      <w:r>
        <w:rPr>
          <w:szCs w:val="21"/>
        </w:rPr>
        <w:t>随机取出</w:t>
      </w:r>
      <w:r>
        <w:t>10</w:t>
      </w:r>
      <w:r>
        <w:rPr>
          <w:szCs w:val="21"/>
        </w:rPr>
        <w:t>片</w:t>
      </w:r>
      <w:r>
        <w:rPr>
          <w:szCs w:val="22"/>
        </w:rPr>
        <w:t>防串染</w:t>
      </w:r>
      <w:r>
        <w:rPr>
          <w:szCs w:val="21"/>
        </w:rPr>
        <w:t>洗衣片样品，用透明密封袋包装，置于</w:t>
      </w:r>
      <w:r w:rsidR="00865942">
        <w:rPr>
          <w:rFonts w:hint="eastAsia"/>
        </w:rPr>
        <w:t>（</w:t>
      </w:r>
      <w:r>
        <w:t>-5</w:t>
      </w:r>
      <w:r w:rsidR="00865942">
        <w:rPr>
          <w:rFonts w:hint="eastAsia"/>
        </w:rPr>
        <w:t xml:space="preserve"> </w:t>
      </w:r>
      <w:r>
        <w:t>±</w:t>
      </w:r>
      <w:r w:rsidR="00865942">
        <w:rPr>
          <w:rFonts w:hint="eastAsia"/>
        </w:rPr>
        <w:t xml:space="preserve"> </w:t>
      </w:r>
      <w:r>
        <w:t>2</w:t>
      </w:r>
      <w:r w:rsidR="00865942">
        <w:rPr>
          <w:rFonts w:hint="eastAsia"/>
        </w:rPr>
        <w:t>）</w:t>
      </w:r>
      <w:r>
        <w:t>℃</w:t>
      </w:r>
      <w:r>
        <w:rPr>
          <w:szCs w:val="21"/>
        </w:rPr>
        <w:t>的保温箱中</w:t>
      </w:r>
      <w:r>
        <w:t>24 h</w:t>
      </w:r>
      <w:r>
        <w:rPr>
          <w:szCs w:val="21"/>
        </w:rPr>
        <w:t>，取出恢复室温后观察。计算不合格率。</w:t>
      </w:r>
    </w:p>
    <w:p w14:paraId="5B9782ED" w14:textId="77777777" w:rsidR="00FA0944" w:rsidRDefault="00000000">
      <w:pPr>
        <w:pStyle w:val="afc"/>
        <w:numPr>
          <w:ilvl w:val="1"/>
          <w:numId w:val="9"/>
        </w:numPr>
        <w:spacing w:before="120" w:after="120" w:line="300" w:lineRule="auto"/>
        <w:jc w:val="left"/>
        <w:rPr>
          <w:rFonts w:ascii="Times New Roman"/>
          <w:bCs/>
          <w:color w:val="000000"/>
          <w:szCs w:val="21"/>
        </w:rPr>
      </w:pPr>
      <w:r>
        <w:rPr>
          <w:rFonts w:ascii="Times New Roman" w:eastAsia="宋体"/>
          <w:kern w:val="2"/>
          <w:szCs w:val="24"/>
        </w:rPr>
        <w:t>pH</w:t>
      </w:r>
      <w:r>
        <w:rPr>
          <w:rFonts w:ascii="Times New Roman"/>
          <w:bCs/>
          <w:color w:val="000000"/>
          <w:szCs w:val="21"/>
        </w:rPr>
        <w:t>值</w:t>
      </w:r>
    </w:p>
    <w:p w14:paraId="5E869F6E" w14:textId="77777777" w:rsidR="00FA0944" w:rsidRDefault="00000000">
      <w:pPr>
        <w:spacing w:line="300" w:lineRule="auto"/>
        <w:ind w:firstLineChars="200" w:firstLine="420"/>
        <w:jc w:val="left"/>
        <w:rPr>
          <w:sz w:val="24"/>
          <w:szCs w:val="32"/>
        </w:rPr>
      </w:pPr>
      <w:r>
        <w:rPr>
          <w:szCs w:val="21"/>
        </w:rPr>
        <w:t>按</w:t>
      </w:r>
      <w:r>
        <w:t>GB/T 7573</w:t>
      </w:r>
      <w:r>
        <w:rPr>
          <w:szCs w:val="21"/>
        </w:rPr>
        <w:t>进行测定</w:t>
      </w:r>
      <w:r>
        <w:rPr>
          <w:sz w:val="24"/>
          <w:szCs w:val="32"/>
        </w:rPr>
        <w:t>。</w:t>
      </w:r>
    </w:p>
    <w:p w14:paraId="6D9F16ED" w14:textId="77777777" w:rsidR="00FA0944" w:rsidRDefault="00000000">
      <w:pPr>
        <w:pStyle w:val="afc"/>
        <w:numPr>
          <w:ilvl w:val="1"/>
          <w:numId w:val="9"/>
        </w:numPr>
        <w:spacing w:before="120" w:after="120" w:line="300" w:lineRule="auto"/>
        <w:jc w:val="left"/>
        <w:rPr>
          <w:rFonts w:ascii="Times New Roman"/>
          <w:bCs/>
          <w:color w:val="000000"/>
          <w:szCs w:val="21"/>
        </w:rPr>
      </w:pPr>
      <w:r>
        <w:rPr>
          <w:rFonts w:ascii="Times New Roman"/>
          <w:bCs/>
          <w:color w:val="000000"/>
          <w:szCs w:val="21"/>
        </w:rPr>
        <w:t>总活性物含量</w:t>
      </w:r>
    </w:p>
    <w:p w14:paraId="0B3F6562" w14:textId="77777777" w:rsidR="00FA0944" w:rsidRDefault="00000000">
      <w:pPr>
        <w:spacing w:line="300" w:lineRule="auto"/>
        <w:ind w:firstLineChars="200" w:firstLine="420"/>
        <w:jc w:val="left"/>
        <w:rPr>
          <w:sz w:val="24"/>
          <w:szCs w:val="32"/>
        </w:rPr>
      </w:pPr>
      <w:r>
        <w:rPr>
          <w:szCs w:val="21"/>
        </w:rPr>
        <w:t>未特别说明，按</w:t>
      </w:r>
      <w:r>
        <w:t>GB/T 13173</w:t>
      </w:r>
      <w:r>
        <w:rPr>
          <w:szCs w:val="21"/>
        </w:rPr>
        <w:t>规定的</w:t>
      </w:r>
      <w:r>
        <w:t>A</w:t>
      </w:r>
      <w:r>
        <w:rPr>
          <w:szCs w:val="21"/>
        </w:rPr>
        <w:t>法进行测定。当配方中含有不完全溶于乙醇的表面活性剂时，按</w:t>
      </w:r>
      <w:r>
        <w:t>B</w:t>
      </w:r>
      <w:r>
        <w:rPr>
          <w:szCs w:val="21"/>
        </w:rPr>
        <w:t>法进行测定</w:t>
      </w:r>
      <w:r>
        <w:rPr>
          <w:sz w:val="24"/>
          <w:szCs w:val="32"/>
        </w:rPr>
        <w:t>。</w:t>
      </w:r>
    </w:p>
    <w:p w14:paraId="1A2107A4" w14:textId="77777777" w:rsidR="00FA0944" w:rsidRDefault="00000000">
      <w:pPr>
        <w:pStyle w:val="afc"/>
        <w:numPr>
          <w:ilvl w:val="1"/>
          <w:numId w:val="9"/>
        </w:numPr>
        <w:spacing w:before="120" w:after="120" w:line="300" w:lineRule="auto"/>
        <w:jc w:val="left"/>
        <w:rPr>
          <w:rFonts w:ascii="Times New Roman"/>
          <w:bCs/>
          <w:color w:val="000000"/>
          <w:szCs w:val="21"/>
        </w:rPr>
      </w:pPr>
      <w:r>
        <w:rPr>
          <w:rFonts w:ascii="Times New Roman"/>
          <w:bCs/>
          <w:color w:val="000000"/>
          <w:szCs w:val="21"/>
        </w:rPr>
        <w:t>总五氧化二磷含量</w:t>
      </w:r>
    </w:p>
    <w:p w14:paraId="002EEA69" w14:textId="77777777" w:rsidR="00FA0944" w:rsidRDefault="00000000" w:rsidP="00865942">
      <w:pPr>
        <w:spacing w:line="300" w:lineRule="auto"/>
        <w:ind w:firstLineChars="200" w:firstLine="420"/>
        <w:jc w:val="left"/>
        <w:rPr>
          <w:szCs w:val="21"/>
        </w:rPr>
      </w:pPr>
      <w:r>
        <w:rPr>
          <w:szCs w:val="21"/>
        </w:rPr>
        <w:t>按</w:t>
      </w:r>
      <w:r>
        <w:t xml:space="preserve"> GB/T 13173</w:t>
      </w:r>
      <w:r>
        <w:rPr>
          <w:szCs w:val="21"/>
        </w:rPr>
        <w:t>规定的洗涤剂中总五氧化二磷含量的测定进行</w:t>
      </w:r>
      <w:r>
        <w:rPr>
          <w:sz w:val="24"/>
          <w:szCs w:val="32"/>
        </w:rPr>
        <w:t>。</w:t>
      </w:r>
    </w:p>
    <w:p w14:paraId="22E36ABB" w14:textId="77777777" w:rsidR="00FA0944" w:rsidRDefault="00000000">
      <w:pPr>
        <w:pStyle w:val="afc"/>
        <w:numPr>
          <w:ilvl w:val="1"/>
          <w:numId w:val="9"/>
        </w:numPr>
        <w:spacing w:before="120" w:after="120" w:line="300" w:lineRule="auto"/>
        <w:jc w:val="left"/>
        <w:rPr>
          <w:rFonts w:ascii="Times New Roman"/>
        </w:rPr>
      </w:pPr>
      <w:r>
        <w:rPr>
          <w:rFonts w:ascii="Times New Roman"/>
        </w:rPr>
        <w:t>规定染料吸附量</w:t>
      </w:r>
    </w:p>
    <w:p w14:paraId="09823E56" w14:textId="77777777" w:rsidR="00FA0944" w:rsidRDefault="00000000" w:rsidP="00865942">
      <w:pPr>
        <w:spacing w:line="300" w:lineRule="auto"/>
        <w:ind w:firstLineChars="200" w:firstLine="420"/>
        <w:jc w:val="left"/>
      </w:pPr>
      <w:r>
        <w:t>按附录</w:t>
      </w:r>
      <w:r>
        <w:t>A</w:t>
      </w:r>
      <w:r>
        <w:rPr>
          <w:szCs w:val="21"/>
        </w:rPr>
        <w:t>规定</w:t>
      </w:r>
      <w:r>
        <w:t>进行</w:t>
      </w:r>
      <w:r w:rsidRPr="00865942">
        <w:rPr>
          <w:szCs w:val="21"/>
        </w:rPr>
        <w:t>测定</w:t>
      </w:r>
      <w:r>
        <w:t>。</w:t>
      </w:r>
    </w:p>
    <w:p w14:paraId="649E2628" w14:textId="77777777" w:rsidR="00FA0944" w:rsidRDefault="00000000">
      <w:pPr>
        <w:pStyle w:val="afc"/>
        <w:numPr>
          <w:ilvl w:val="1"/>
          <w:numId w:val="9"/>
        </w:numPr>
        <w:spacing w:before="120" w:after="120" w:line="300" w:lineRule="auto"/>
        <w:jc w:val="left"/>
        <w:rPr>
          <w:rFonts w:ascii="Times New Roman" w:eastAsia="宋体"/>
          <w:bCs/>
          <w:color w:val="000000"/>
        </w:rPr>
      </w:pPr>
      <w:r>
        <w:rPr>
          <w:rFonts w:ascii="Times New Roman"/>
          <w:bCs/>
          <w:color w:val="000000"/>
        </w:rPr>
        <w:t>规定污布的去污力</w:t>
      </w:r>
    </w:p>
    <w:p w14:paraId="222AC039" w14:textId="77777777" w:rsidR="00FA0944" w:rsidRDefault="00000000" w:rsidP="00865942">
      <w:pPr>
        <w:spacing w:line="300" w:lineRule="auto"/>
        <w:ind w:firstLineChars="200" w:firstLine="420"/>
        <w:jc w:val="left"/>
      </w:pPr>
      <w:r>
        <w:t>按</w:t>
      </w:r>
      <w:r>
        <w:t>GB/T 13174</w:t>
      </w:r>
      <w:r>
        <w:t>规定程序，取表</w:t>
      </w:r>
      <w:r>
        <w:t>1</w:t>
      </w:r>
      <w:r w:rsidRPr="00865942">
        <w:rPr>
          <w:szCs w:val="21"/>
        </w:rPr>
        <w:t>规定</w:t>
      </w:r>
      <w:r>
        <w:t>的标准洗衣液与测试样品试验溶液同机测定去污力。</w:t>
      </w:r>
    </w:p>
    <w:p w14:paraId="5D1D0F91" w14:textId="45E586CC" w:rsidR="00FA0944" w:rsidRDefault="00000000" w:rsidP="0000693F">
      <w:pPr>
        <w:pStyle w:val="afffb"/>
        <w:numPr>
          <w:ilvl w:val="1"/>
          <w:numId w:val="9"/>
        </w:numPr>
        <w:spacing w:line="360" w:lineRule="auto"/>
        <w:ind w:firstLineChars="0"/>
      </w:pPr>
      <w:r w:rsidRPr="00321AC5">
        <w:rPr>
          <w:rFonts w:eastAsia="黑体" w:hint="eastAsia"/>
          <w:bCs/>
          <w:color w:val="000000"/>
          <w:kern w:val="0"/>
          <w:szCs w:val="20"/>
        </w:rPr>
        <w:t>无纺吸色布占比</w:t>
      </w:r>
    </w:p>
    <w:p w14:paraId="3EEB04BE" w14:textId="68E1CB95" w:rsidR="00FA0944" w:rsidRDefault="00000000" w:rsidP="00865942">
      <w:pPr>
        <w:spacing w:line="300" w:lineRule="auto"/>
        <w:ind w:firstLineChars="200" w:firstLine="420"/>
        <w:jc w:val="left"/>
      </w:pPr>
      <w:r>
        <w:rPr>
          <w:rFonts w:hint="eastAsia"/>
        </w:rPr>
        <w:t>随机取出防串染洗衣片样品</w:t>
      </w:r>
      <w:r w:rsidR="002A5003">
        <w:rPr>
          <w:rFonts w:hint="eastAsia"/>
        </w:rPr>
        <w:t>（</w:t>
      </w:r>
      <w:r>
        <w:rPr>
          <w:rFonts w:hint="eastAsia"/>
        </w:rPr>
        <w:t>不少于</w:t>
      </w:r>
      <w:r>
        <w:t>3</w:t>
      </w:r>
      <w:r>
        <w:rPr>
          <w:rFonts w:hint="eastAsia"/>
        </w:rPr>
        <w:t>片），记录样品初始重量</w:t>
      </w:r>
      <w:r w:rsidR="002A5003">
        <w:rPr>
          <w:rFonts w:hint="eastAsia"/>
        </w:rPr>
        <w:t>。</w:t>
      </w:r>
      <w:r w:rsidR="000670E1">
        <w:rPr>
          <w:szCs w:val="21"/>
        </w:rPr>
        <w:t>通过洗涤及多次漂洗方式</w:t>
      </w:r>
      <w:r>
        <w:rPr>
          <w:rFonts w:hint="eastAsia"/>
        </w:rPr>
        <w:t>去除附载</w:t>
      </w:r>
      <w:r w:rsidR="002A5003">
        <w:rPr>
          <w:rFonts w:hint="eastAsia"/>
        </w:rPr>
        <w:t>的</w:t>
      </w:r>
      <w:r>
        <w:rPr>
          <w:rFonts w:hint="eastAsia"/>
        </w:rPr>
        <w:t>洗涤剂</w:t>
      </w:r>
      <w:r w:rsidR="002A5003">
        <w:rPr>
          <w:rFonts w:hint="eastAsia"/>
        </w:rPr>
        <w:t>，晾干后称取</w:t>
      </w:r>
      <w:r w:rsidR="00FB1083">
        <w:rPr>
          <w:rFonts w:hint="eastAsia"/>
        </w:rPr>
        <w:t>剩余的</w:t>
      </w:r>
      <w:r>
        <w:rPr>
          <w:rFonts w:hint="eastAsia"/>
        </w:rPr>
        <w:t>无纺吸色布重量，计算无纺吸色布占比。</w:t>
      </w:r>
    </w:p>
    <w:p w14:paraId="5921C969" w14:textId="77777777" w:rsidR="00FA0944" w:rsidRDefault="00000000">
      <w:pPr>
        <w:pStyle w:val="afc"/>
        <w:numPr>
          <w:ilvl w:val="1"/>
          <w:numId w:val="9"/>
        </w:numPr>
        <w:spacing w:before="120" w:after="120" w:line="300" w:lineRule="auto"/>
        <w:jc w:val="left"/>
        <w:rPr>
          <w:rFonts w:ascii="Times New Roman"/>
          <w:bCs/>
          <w:color w:val="000000"/>
          <w:szCs w:val="21"/>
        </w:rPr>
      </w:pPr>
      <w:r>
        <w:rPr>
          <w:rFonts w:ascii="Times New Roman"/>
          <w:bCs/>
          <w:color w:val="000000"/>
          <w:szCs w:val="21"/>
        </w:rPr>
        <w:t>抑菌性能</w:t>
      </w:r>
    </w:p>
    <w:p w14:paraId="00389990" w14:textId="50D00CE7" w:rsidR="00FA0944" w:rsidRDefault="00000000" w:rsidP="00865942">
      <w:pPr>
        <w:spacing w:line="300" w:lineRule="auto"/>
        <w:ind w:firstLineChars="200" w:firstLine="420"/>
        <w:jc w:val="left"/>
        <w:rPr>
          <w:szCs w:val="21"/>
        </w:rPr>
      </w:pPr>
      <w:r>
        <w:rPr>
          <w:rFonts w:hint="eastAsia"/>
          <w:szCs w:val="21"/>
        </w:rPr>
        <w:t>将样品稀释至作用浓度后，放入恒温水浴振荡器中，以</w:t>
      </w:r>
      <w:r>
        <w:rPr>
          <w:rFonts w:hint="eastAsia"/>
          <w:szCs w:val="21"/>
        </w:rPr>
        <w:t>120 r/min</w:t>
      </w:r>
      <w:r>
        <w:rPr>
          <w:rFonts w:hint="eastAsia"/>
          <w:szCs w:val="21"/>
        </w:rPr>
        <w:t>条件振荡</w:t>
      </w:r>
      <w:r>
        <w:rPr>
          <w:rFonts w:hint="eastAsia"/>
          <w:szCs w:val="21"/>
        </w:rPr>
        <w:t>1 h</w:t>
      </w:r>
      <w:r>
        <w:rPr>
          <w:rFonts w:hint="eastAsia"/>
          <w:szCs w:val="21"/>
        </w:rPr>
        <w:t>后，取样</w:t>
      </w:r>
      <w:r>
        <w:rPr>
          <w:szCs w:val="21"/>
        </w:rPr>
        <w:t>按</w:t>
      </w:r>
      <w:r>
        <w:t>QB/T 2738</w:t>
      </w:r>
      <w:r w:rsidR="00865942">
        <w:rPr>
          <w:rFonts w:hint="eastAsia"/>
        </w:rPr>
        <w:t>—</w:t>
      </w:r>
      <w:r>
        <w:t>2023</w:t>
      </w:r>
      <w:r>
        <w:rPr>
          <w:szCs w:val="21"/>
        </w:rPr>
        <w:t>第</w:t>
      </w:r>
      <w:r>
        <w:t>7.3</w:t>
      </w:r>
      <w:r>
        <w:rPr>
          <w:szCs w:val="21"/>
        </w:rPr>
        <w:t>条进行测试。</w:t>
      </w:r>
    </w:p>
    <w:p w14:paraId="1667E9AE" w14:textId="77777777" w:rsidR="00FA0944" w:rsidRDefault="00000000" w:rsidP="00865942">
      <w:pPr>
        <w:spacing w:line="300" w:lineRule="auto"/>
        <w:ind w:firstLineChars="200" w:firstLine="420"/>
        <w:jc w:val="left"/>
      </w:pPr>
      <w:r>
        <w:rPr>
          <w:szCs w:val="21"/>
        </w:rPr>
        <w:t>抑菌作用浓度和实验菌种按产品说明中标识进行</w:t>
      </w:r>
      <w:r>
        <w:rPr>
          <w:szCs w:val="21"/>
        </w:rPr>
        <w:t>,</w:t>
      </w:r>
      <w:r>
        <w:rPr>
          <w:szCs w:val="21"/>
        </w:rPr>
        <w:t>若产品说明未标示时按表</w:t>
      </w:r>
      <w:r>
        <w:t>2</w:t>
      </w:r>
      <w:r>
        <w:rPr>
          <w:szCs w:val="21"/>
        </w:rPr>
        <w:t>进行。</w:t>
      </w:r>
    </w:p>
    <w:p w14:paraId="2B7C6CD0" w14:textId="77777777" w:rsidR="00FA0944" w:rsidRDefault="00000000">
      <w:pPr>
        <w:pStyle w:val="afc"/>
        <w:numPr>
          <w:ilvl w:val="1"/>
          <w:numId w:val="9"/>
        </w:numPr>
        <w:spacing w:before="120" w:after="120" w:line="300" w:lineRule="auto"/>
        <w:jc w:val="left"/>
        <w:rPr>
          <w:rFonts w:ascii="Times New Roman"/>
        </w:rPr>
      </w:pPr>
      <w:r>
        <w:rPr>
          <w:rFonts w:ascii="Times New Roman"/>
        </w:rPr>
        <w:t>净含量</w:t>
      </w:r>
    </w:p>
    <w:p w14:paraId="5F673D09" w14:textId="77777777" w:rsidR="00FA0944" w:rsidRDefault="00000000">
      <w:pPr>
        <w:ind w:firstLine="420"/>
      </w:pPr>
      <w:r>
        <w:rPr>
          <w:kern w:val="0"/>
          <w:szCs w:val="20"/>
        </w:rPr>
        <w:t>按</w:t>
      </w:r>
      <w:r>
        <w:t>JJF 1070</w:t>
      </w:r>
      <w:r>
        <w:rPr>
          <w:kern w:val="0"/>
          <w:szCs w:val="20"/>
        </w:rPr>
        <w:t>规定执行。</w:t>
      </w:r>
    </w:p>
    <w:p w14:paraId="169D6DA5" w14:textId="77777777" w:rsidR="00FA0944" w:rsidRDefault="00000000">
      <w:pPr>
        <w:pStyle w:val="a7"/>
        <w:numPr>
          <w:ilvl w:val="0"/>
          <w:numId w:val="9"/>
        </w:numPr>
        <w:spacing w:beforeLines="100" w:before="240" w:afterLines="100" w:after="240"/>
        <w:rPr>
          <w:rFonts w:ascii="Times New Roman"/>
        </w:rPr>
      </w:pPr>
      <w:r>
        <w:rPr>
          <w:rFonts w:ascii="Times New Roman"/>
        </w:rPr>
        <w:t>检验规则</w:t>
      </w:r>
    </w:p>
    <w:p w14:paraId="30841195" w14:textId="77777777" w:rsidR="00FA0944" w:rsidRDefault="00000000">
      <w:pPr>
        <w:spacing w:line="300" w:lineRule="auto"/>
        <w:ind w:firstLine="420"/>
        <w:rPr>
          <w:kern w:val="0"/>
          <w:szCs w:val="20"/>
        </w:rPr>
      </w:pPr>
      <w:r>
        <w:rPr>
          <w:kern w:val="0"/>
          <w:szCs w:val="20"/>
        </w:rPr>
        <w:t>按照</w:t>
      </w:r>
      <w:r>
        <w:t>QB/T 2951</w:t>
      </w:r>
      <w:r>
        <w:rPr>
          <w:kern w:val="0"/>
          <w:szCs w:val="20"/>
        </w:rPr>
        <w:t>执行，以修约法比较判定。</w:t>
      </w:r>
    </w:p>
    <w:p w14:paraId="55A35546" w14:textId="77777777" w:rsidR="00FA0944" w:rsidRDefault="00000000">
      <w:pPr>
        <w:spacing w:line="300" w:lineRule="auto"/>
        <w:ind w:firstLine="420"/>
        <w:rPr>
          <w:kern w:val="0"/>
          <w:szCs w:val="20"/>
        </w:rPr>
      </w:pPr>
      <w:r>
        <w:rPr>
          <w:kern w:val="0"/>
          <w:szCs w:val="20"/>
        </w:rPr>
        <w:t>出厂检验项目为外观、气味、</w:t>
      </w:r>
      <w:r>
        <w:t>pH</w:t>
      </w:r>
      <w:r>
        <w:rPr>
          <w:kern w:val="0"/>
          <w:szCs w:val="20"/>
        </w:rPr>
        <w:t>值、总活性物含量、净含量。</w:t>
      </w:r>
    </w:p>
    <w:p w14:paraId="760B3797" w14:textId="77777777" w:rsidR="00FA0944" w:rsidRDefault="00000000">
      <w:pPr>
        <w:spacing w:line="300" w:lineRule="auto"/>
        <w:ind w:firstLine="420"/>
        <w:rPr>
          <w:kern w:val="0"/>
          <w:szCs w:val="20"/>
        </w:rPr>
      </w:pPr>
      <w:r>
        <w:rPr>
          <w:kern w:val="0"/>
          <w:szCs w:val="20"/>
        </w:rPr>
        <w:t>型式检验项目包括第</w:t>
      </w:r>
      <w:r>
        <w:rPr>
          <w:kern w:val="0"/>
          <w:szCs w:val="20"/>
        </w:rPr>
        <w:t>4</w:t>
      </w:r>
      <w:r>
        <w:rPr>
          <w:kern w:val="0"/>
          <w:szCs w:val="20"/>
        </w:rPr>
        <w:t>章规定的全部项目。</w:t>
      </w:r>
    </w:p>
    <w:p w14:paraId="2760A1E7" w14:textId="77777777" w:rsidR="00FA0944" w:rsidRDefault="00000000">
      <w:pPr>
        <w:pStyle w:val="a7"/>
        <w:numPr>
          <w:ilvl w:val="0"/>
          <w:numId w:val="9"/>
        </w:numPr>
        <w:spacing w:beforeLines="100" w:before="240" w:afterLines="100" w:after="240"/>
        <w:rPr>
          <w:rFonts w:ascii="Times New Roman"/>
        </w:rPr>
      </w:pPr>
      <w:r>
        <w:rPr>
          <w:rFonts w:ascii="Times New Roman"/>
        </w:rPr>
        <w:t>标志、包装、运输、贮存</w:t>
      </w:r>
    </w:p>
    <w:p w14:paraId="412FF31C" w14:textId="77777777" w:rsidR="00FA0944" w:rsidRDefault="00000000">
      <w:pPr>
        <w:pStyle w:val="afc"/>
        <w:numPr>
          <w:ilvl w:val="1"/>
          <w:numId w:val="9"/>
        </w:numPr>
        <w:spacing w:before="120" w:after="120" w:line="300" w:lineRule="auto"/>
        <w:jc w:val="left"/>
        <w:rPr>
          <w:rFonts w:ascii="Times New Roman"/>
        </w:rPr>
      </w:pPr>
      <w:r>
        <w:rPr>
          <w:rFonts w:ascii="Times New Roman"/>
        </w:rPr>
        <w:t>标志</w:t>
      </w:r>
    </w:p>
    <w:p w14:paraId="678E4AFE" w14:textId="77777777" w:rsidR="00FA0944" w:rsidRDefault="00000000">
      <w:pPr>
        <w:spacing w:line="300" w:lineRule="auto"/>
        <w:ind w:firstLine="420"/>
        <w:rPr>
          <w:kern w:val="0"/>
          <w:szCs w:val="20"/>
        </w:rPr>
      </w:pPr>
      <w:r>
        <w:rPr>
          <w:kern w:val="0"/>
          <w:szCs w:val="20"/>
        </w:rPr>
        <w:t>按</w:t>
      </w:r>
      <w:r>
        <w:t>GB/T 36970</w:t>
      </w:r>
      <w:r>
        <w:rPr>
          <w:kern w:val="0"/>
          <w:szCs w:val="20"/>
        </w:rPr>
        <w:t>执行。</w:t>
      </w:r>
    </w:p>
    <w:p w14:paraId="58DFD999" w14:textId="77777777" w:rsidR="00FA0944" w:rsidRDefault="00000000">
      <w:pPr>
        <w:pStyle w:val="afc"/>
        <w:numPr>
          <w:ilvl w:val="1"/>
          <w:numId w:val="9"/>
        </w:numPr>
        <w:spacing w:before="120" w:after="120" w:line="300" w:lineRule="auto"/>
        <w:jc w:val="left"/>
        <w:rPr>
          <w:rFonts w:ascii="Times New Roman"/>
        </w:rPr>
      </w:pPr>
      <w:r>
        <w:rPr>
          <w:rFonts w:ascii="Times New Roman"/>
        </w:rPr>
        <w:t>包装</w:t>
      </w:r>
    </w:p>
    <w:p w14:paraId="1EABAEEE" w14:textId="77777777" w:rsidR="00FA0944" w:rsidRDefault="00000000">
      <w:pPr>
        <w:spacing w:line="300" w:lineRule="auto"/>
        <w:ind w:firstLine="420"/>
        <w:rPr>
          <w:kern w:val="0"/>
          <w:szCs w:val="20"/>
        </w:rPr>
      </w:pPr>
      <w:r>
        <w:rPr>
          <w:kern w:val="0"/>
          <w:szCs w:val="20"/>
        </w:rPr>
        <w:lastRenderedPageBreak/>
        <w:t>按</w:t>
      </w:r>
      <w:r>
        <w:t>QB/T 2952</w:t>
      </w:r>
      <w:r>
        <w:rPr>
          <w:kern w:val="0"/>
          <w:szCs w:val="20"/>
        </w:rPr>
        <w:t>执行。</w:t>
      </w:r>
    </w:p>
    <w:p w14:paraId="3B62ACF7" w14:textId="77777777" w:rsidR="00FA0944" w:rsidRDefault="00000000">
      <w:pPr>
        <w:pStyle w:val="afc"/>
        <w:numPr>
          <w:ilvl w:val="1"/>
          <w:numId w:val="9"/>
        </w:numPr>
        <w:spacing w:before="120" w:after="120" w:line="300" w:lineRule="auto"/>
        <w:jc w:val="left"/>
        <w:rPr>
          <w:rFonts w:ascii="Times New Roman"/>
        </w:rPr>
      </w:pPr>
      <w:r>
        <w:rPr>
          <w:rFonts w:ascii="Times New Roman"/>
        </w:rPr>
        <w:t>运输</w:t>
      </w:r>
    </w:p>
    <w:p w14:paraId="539244AA" w14:textId="77777777" w:rsidR="00FA0944" w:rsidRDefault="00000000" w:rsidP="00865942">
      <w:pPr>
        <w:spacing w:line="300" w:lineRule="auto"/>
        <w:ind w:firstLineChars="200" w:firstLine="420"/>
        <w:jc w:val="left"/>
      </w:pPr>
      <w:r>
        <w:t>产品可用一般交通工具运输。在运输过程中，应轻装轻卸，防止包装破损、严禁抛掷、踩踏，避免日晒、雨淋。</w:t>
      </w:r>
    </w:p>
    <w:p w14:paraId="2D610BCB" w14:textId="77777777" w:rsidR="00FA0944" w:rsidRDefault="00000000">
      <w:pPr>
        <w:pStyle w:val="afc"/>
        <w:numPr>
          <w:ilvl w:val="1"/>
          <w:numId w:val="9"/>
        </w:numPr>
        <w:spacing w:before="120" w:after="120" w:line="300" w:lineRule="auto"/>
        <w:jc w:val="left"/>
        <w:rPr>
          <w:rFonts w:ascii="Times New Roman"/>
        </w:rPr>
      </w:pPr>
      <w:r>
        <w:rPr>
          <w:rFonts w:ascii="Times New Roman"/>
        </w:rPr>
        <w:t>贮存</w:t>
      </w:r>
    </w:p>
    <w:p w14:paraId="7F0E4302" w14:textId="77777777" w:rsidR="00FA0944" w:rsidRDefault="00000000" w:rsidP="00865942">
      <w:pPr>
        <w:spacing w:line="300" w:lineRule="auto"/>
        <w:ind w:firstLineChars="200" w:firstLine="420"/>
        <w:jc w:val="left"/>
      </w:pPr>
      <w:r>
        <w:t>产品应贮存在通风干燥且不受阳光直射和雨淋的场所，不宜贮存在高温或冰冻的环境中。堆垛应采取必要的防护措施，堆垛高度应适当，避免损坏大包装。</w:t>
      </w:r>
    </w:p>
    <w:p w14:paraId="612DA2E1" w14:textId="77777777" w:rsidR="00FA0944" w:rsidRDefault="00000000">
      <w:pPr>
        <w:pStyle w:val="afc"/>
        <w:numPr>
          <w:ilvl w:val="1"/>
          <w:numId w:val="9"/>
        </w:numPr>
        <w:spacing w:before="120" w:after="120" w:line="300" w:lineRule="auto"/>
        <w:jc w:val="left"/>
        <w:rPr>
          <w:rFonts w:ascii="Times New Roman"/>
          <w:b/>
          <w:color w:val="000000"/>
          <w:szCs w:val="21"/>
        </w:rPr>
      </w:pPr>
      <w:r>
        <w:rPr>
          <w:rFonts w:ascii="Times New Roman"/>
          <w:bCs/>
          <w:color w:val="000000"/>
          <w:szCs w:val="21"/>
        </w:rPr>
        <w:t>保质期</w:t>
      </w:r>
    </w:p>
    <w:p w14:paraId="2ECE7505" w14:textId="77777777" w:rsidR="00FA0944" w:rsidRDefault="00000000" w:rsidP="00865942">
      <w:pPr>
        <w:spacing w:line="300" w:lineRule="auto"/>
        <w:ind w:firstLineChars="200" w:firstLine="420"/>
        <w:jc w:val="left"/>
        <w:rPr>
          <w:bCs/>
          <w:color w:val="000000"/>
          <w:szCs w:val="21"/>
        </w:rPr>
      </w:pPr>
      <w:r>
        <w:rPr>
          <w:bCs/>
          <w:color w:val="000000"/>
          <w:szCs w:val="21"/>
        </w:rPr>
        <w:t>在符合规定的运输和贮存条件下，在包装</w:t>
      </w:r>
      <w:r w:rsidRPr="00865942">
        <w:t>完整</w:t>
      </w:r>
      <w:r>
        <w:rPr>
          <w:bCs/>
          <w:color w:val="000000"/>
          <w:szCs w:val="21"/>
        </w:rPr>
        <w:t>和未经启封条件下，保质期按销售包装标注执行。</w:t>
      </w:r>
    </w:p>
    <w:p w14:paraId="416C0E25" w14:textId="77777777" w:rsidR="00FA0944" w:rsidRDefault="00000000">
      <w:pPr>
        <w:pStyle w:val="af9"/>
        <w:spacing w:line="300" w:lineRule="auto"/>
        <w:rPr>
          <w:rFonts w:ascii="Times New Roman" w:hAnsi="Times New Roman"/>
        </w:rPr>
      </w:pPr>
      <w:r>
        <w:rPr>
          <w:rFonts w:ascii="Times New Roman" w:hAnsi="Times New Roman"/>
        </w:rPr>
        <w:br w:type="page"/>
      </w:r>
    </w:p>
    <w:p w14:paraId="6967664C" w14:textId="77777777" w:rsidR="00FA0944" w:rsidRDefault="00000000">
      <w:pPr>
        <w:pStyle w:val="af9"/>
        <w:spacing w:beforeLines="100" w:before="240" w:line="300" w:lineRule="auto"/>
        <w:jc w:val="center"/>
        <w:rPr>
          <w:rFonts w:ascii="Times New Roman" w:eastAsia="黑体" w:hAnsi="Times New Roman"/>
        </w:rPr>
      </w:pPr>
      <w:r>
        <w:rPr>
          <w:rFonts w:ascii="Times New Roman" w:eastAsia="黑体" w:hAnsi="Times New Roman"/>
        </w:rPr>
        <w:lastRenderedPageBreak/>
        <w:t>附录</w:t>
      </w:r>
      <w:r>
        <w:rPr>
          <w:rFonts w:ascii="Times New Roman" w:eastAsia="黑体" w:hAnsi="Times New Roman"/>
        </w:rPr>
        <w:t>A</w:t>
      </w:r>
    </w:p>
    <w:p w14:paraId="3ECC6F0A" w14:textId="77777777" w:rsidR="00FA0944" w:rsidRDefault="00000000">
      <w:pPr>
        <w:pStyle w:val="af9"/>
        <w:spacing w:line="300" w:lineRule="auto"/>
        <w:jc w:val="center"/>
        <w:rPr>
          <w:rFonts w:ascii="Times New Roman" w:eastAsia="黑体" w:hAnsi="Times New Roman"/>
        </w:rPr>
      </w:pPr>
      <w:r>
        <w:rPr>
          <w:rFonts w:ascii="Times New Roman" w:eastAsia="黑体" w:hAnsi="Times New Roman"/>
        </w:rPr>
        <w:t>（规范性附录）</w:t>
      </w:r>
    </w:p>
    <w:p w14:paraId="43CCAF05" w14:textId="77777777" w:rsidR="00FA0944" w:rsidRDefault="00000000">
      <w:pPr>
        <w:pStyle w:val="af9"/>
        <w:spacing w:line="300" w:lineRule="auto"/>
        <w:jc w:val="center"/>
        <w:rPr>
          <w:rFonts w:ascii="Times New Roman" w:eastAsia="黑体" w:hAnsi="Times New Roman"/>
        </w:rPr>
      </w:pPr>
      <w:r>
        <w:rPr>
          <w:rFonts w:ascii="Times New Roman" w:eastAsia="黑体" w:hAnsi="Times New Roman"/>
        </w:rPr>
        <w:t>规定染料吸附量的测定</w:t>
      </w:r>
    </w:p>
    <w:p w14:paraId="1E632B3C" w14:textId="77777777" w:rsidR="00FA0944" w:rsidRDefault="00000000">
      <w:pPr>
        <w:spacing w:line="360" w:lineRule="auto"/>
        <w:jc w:val="left"/>
        <w:rPr>
          <w:rFonts w:eastAsia="黑体"/>
          <w:szCs w:val="21"/>
        </w:rPr>
      </w:pPr>
      <w:r>
        <w:rPr>
          <w:rFonts w:eastAsia="黑体"/>
          <w:szCs w:val="21"/>
        </w:rPr>
        <w:t>A.1</w:t>
      </w:r>
      <w:r>
        <w:rPr>
          <w:rFonts w:eastAsia="黑体"/>
          <w:szCs w:val="21"/>
        </w:rPr>
        <w:t>试剂材料</w:t>
      </w:r>
    </w:p>
    <w:p w14:paraId="5D7E5D29" w14:textId="77777777" w:rsidR="00FA0944" w:rsidRDefault="00000000">
      <w:pPr>
        <w:spacing w:line="300" w:lineRule="auto"/>
        <w:ind w:firstLineChars="201" w:firstLine="422"/>
        <w:jc w:val="left"/>
        <w:rPr>
          <w:bCs/>
          <w:color w:val="000000"/>
          <w:kern w:val="0"/>
          <w:szCs w:val="21"/>
        </w:rPr>
      </w:pPr>
      <w:r>
        <w:rPr>
          <w:bCs/>
          <w:color w:val="000000"/>
          <w:kern w:val="0"/>
          <w:szCs w:val="21"/>
        </w:rPr>
        <w:t>除非另有说明，在分析中仅使用确认为分析纯的试剂以及符合</w:t>
      </w:r>
      <w:r>
        <w:rPr>
          <w:bCs/>
          <w:color w:val="000000"/>
          <w:kern w:val="0"/>
          <w:szCs w:val="21"/>
        </w:rPr>
        <w:t>GB/T 6682</w:t>
      </w:r>
      <w:r>
        <w:rPr>
          <w:bCs/>
          <w:color w:val="000000"/>
          <w:kern w:val="0"/>
          <w:szCs w:val="21"/>
        </w:rPr>
        <w:t>规定的三级或以上的水。具体试剂如下：</w:t>
      </w:r>
    </w:p>
    <w:p w14:paraId="53C8C8DB" w14:textId="794E7363" w:rsidR="00FA0944" w:rsidRDefault="00000000">
      <w:pPr>
        <w:numPr>
          <w:ilvl w:val="0"/>
          <w:numId w:val="10"/>
        </w:numPr>
        <w:spacing w:line="300" w:lineRule="auto"/>
        <w:ind w:left="0" w:firstLine="425"/>
        <w:jc w:val="left"/>
        <w:rPr>
          <w:szCs w:val="21"/>
        </w:rPr>
      </w:pPr>
      <w:r>
        <w:rPr>
          <w:szCs w:val="21"/>
        </w:rPr>
        <w:t>氯化钙：</w:t>
      </w:r>
      <w:r>
        <w:t>分析纯</w:t>
      </w:r>
      <w:r w:rsidR="00145694">
        <w:rPr>
          <w:rFonts w:hint="eastAsia"/>
          <w:szCs w:val="21"/>
        </w:rPr>
        <w:t>；</w:t>
      </w:r>
    </w:p>
    <w:p w14:paraId="58CE6707" w14:textId="675A1B4F" w:rsidR="00FA0944" w:rsidRDefault="00000000">
      <w:pPr>
        <w:numPr>
          <w:ilvl w:val="0"/>
          <w:numId w:val="10"/>
        </w:numPr>
        <w:spacing w:line="300" w:lineRule="auto"/>
        <w:ind w:left="0" w:firstLine="425"/>
        <w:jc w:val="left"/>
        <w:rPr>
          <w:szCs w:val="21"/>
        </w:rPr>
      </w:pPr>
      <w:r>
        <w:rPr>
          <w:szCs w:val="21"/>
        </w:rPr>
        <w:t>氯化镁：</w:t>
      </w:r>
      <w:r>
        <w:t>分析纯</w:t>
      </w:r>
      <w:r w:rsidR="00145694">
        <w:rPr>
          <w:rFonts w:hint="eastAsia"/>
          <w:szCs w:val="21"/>
        </w:rPr>
        <w:t>；</w:t>
      </w:r>
    </w:p>
    <w:p w14:paraId="01535FD9" w14:textId="0CACC9C9" w:rsidR="00FA0944" w:rsidRDefault="00000000">
      <w:pPr>
        <w:numPr>
          <w:ilvl w:val="0"/>
          <w:numId w:val="10"/>
        </w:numPr>
        <w:spacing w:line="300" w:lineRule="auto"/>
        <w:ind w:left="0" w:firstLine="425"/>
        <w:jc w:val="left"/>
        <w:rPr>
          <w:szCs w:val="21"/>
        </w:rPr>
      </w:pPr>
      <w:r>
        <w:rPr>
          <w:szCs w:val="21"/>
        </w:rPr>
        <w:t>硬水：</w:t>
      </w:r>
      <w:r>
        <w:t>250 mg/kg</w:t>
      </w:r>
      <w:r>
        <w:rPr>
          <w:szCs w:val="21"/>
        </w:rPr>
        <w:t>，按</w:t>
      </w:r>
      <w:r>
        <w:t>GB/T 13174</w:t>
      </w:r>
      <w:r>
        <w:rPr>
          <w:szCs w:val="21"/>
        </w:rPr>
        <w:t>规定配制</w:t>
      </w:r>
      <w:r w:rsidR="00145694">
        <w:rPr>
          <w:rFonts w:hint="eastAsia"/>
          <w:szCs w:val="21"/>
        </w:rPr>
        <w:t>；</w:t>
      </w:r>
    </w:p>
    <w:p w14:paraId="7690B54F" w14:textId="50089363" w:rsidR="00FA0944" w:rsidRDefault="00000000">
      <w:pPr>
        <w:numPr>
          <w:ilvl w:val="0"/>
          <w:numId w:val="10"/>
        </w:numPr>
        <w:spacing w:line="300" w:lineRule="auto"/>
        <w:ind w:left="0" w:firstLine="425"/>
        <w:jc w:val="left"/>
        <w:rPr>
          <w:szCs w:val="21"/>
        </w:rPr>
      </w:pPr>
      <w:r>
        <w:t>1 g/L</w:t>
      </w:r>
      <w:r>
        <w:rPr>
          <w:szCs w:val="21"/>
        </w:rPr>
        <w:t>的混合染料储备液：用分析天平分别称取</w:t>
      </w:r>
      <w:r>
        <w:t>1.000 g</w:t>
      </w:r>
      <w:r>
        <w:rPr>
          <w:szCs w:val="21"/>
        </w:rPr>
        <w:t>（称准至</w:t>
      </w:r>
      <w:r>
        <w:t>0.001 g</w:t>
      </w:r>
      <w:r>
        <w:t>）活性红</w:t>
      </w:r>
      <w:r>
        <w:t>3BSN</w:t>
      </w:r>
      <w:r>
        <w:t>、活性元青</w:t>
      </w:r>
      <w:r>
        <w:t>B</w:t>
      </w:r>
      <w:r>
        <w:t>、活性黑</w:t>
      </w:r>
      <w:r>
        <w:t>WNN</w:t>
      </w:r>
      <w:r>
        <w:rPr>
          <w:szCs w:val="21"/>
        </w:rPr>
        <w:t>、</w:t>
      </w:r>
      <w:r>
        <w:t>直接混纺红玉</w:t>
      </w:r>
      <w:r>
        <w:t>D-BLL</w:t>
      </w:r>
      <w:r>
        <w:t>、直接混纺蓝</w:t>
      </w:r>
      <w:r>
        <w:t>D-3GL</w:t>
      </w:r>
      <w:r>
        <w:rPr>
          <w:szCs w:val="21"/>
        </w:rPr>
        <w:t>染料，各用</w:t>
      </w:r>
      <w:r>
        <w:t>250 mg/kg</w:t>
      </w:r>
      <w:r>
        <w:rPr>
          <w:bCs/>
          <w:color w:val="000000"/>
          <w:kern w:val="0"/>
          <w:szCs w:val="21"/>
        </w:rPr>
        <w:t>硬</w:t>
      </w:r>
      <w:r>
        <w:rPr>
          <w:szCs w:val="21"/>
        </w:rPr>
        <w:t>水溶解后，分别移至</w:t>
      </w:r>
      <w:r>
        <w:t>1 000 mL</w:t>
      </w:r>
      <w:r>
        <w:rPr>
          <w:szCs w:val="21"/>
        </w:rPr>
        <w:t>容量瓶中，定容至</w:t>
      </w:r>
      <w:r>
        <w:t>1 000 mL</w:t>
      </w:r>
      <w:r>
        <w:rPr>
          <w:szCs w:val="21"/>
        </w:rPr>
        <w:t>，摇匀后备用。将</w:t>
      </w:r>
      <w:r>
        <w:t>三种活性染料溶液按</w:t>
      </w:r>
      <w:r>
        <w:t>1</w:t>
      </w:r>
      <w:r>
        <w:t>：</w:t>
      </w:r>
      <w:r>
        <w:t>1</w:t>
      </w:r>
      <w:r>
        <w:t>：</w:t>
      </w:r>
      <w:r>
        <w:t>1</w:t>
      </w:r>
      <w:r>
        <w:t>比例混匀</w:t>
      </w:r>
      <w:bookmarkStart w:id="0" w:name="_Hlk171349568"/>
      <w:r>
        <w:t>成</w:t>
      </w:r>
      <w:r>
        <w:t>1 g/L</w:t>
      </w:r>
      <w:r>
        <w:rPr>
          <w:szCs w:val="21"/>
        </w:rPr>
        <w:t>的活性染料混合储备液</w:t>
      </w:r>
      <w:r>
        <w:t>。</w:t>
      </w:r>
      <w:r>
        <w:rPr>
          <w:szCs w:val="21"/>
        </w:rPr>
        <w:t>将两</w:t>
      </w:r>
      <w:r>
        <w:t>种直接染料溶液按</w:t>
      </w:r>
      <w:r>
        <w:t>1</w:t>
      </w:r>
      <w:r>
        <w:t>：</w:t>
      </w:r>
      <w:r>
        <w:t>1</w:t>
      </w:r>
      <w:r>
        <w:t>比例混匀成</w:t>
      </w:r>
      <w:r>
        <w:t>1 g/L</w:t>
      </w:r>
      <w:r>
        <w:rPr>
          <w:szCs w:val="21"/>
        </w:rPr>
        <w:t>的直接染料混合储备液</w:t>
      </w:r>
      <w:r w:rsidR="00145694">
        <w:rPr>
          <w:rFonts w:hint="eastAsia"/>
          <w:szCs w:val="21"/>
        </w:rPr>
        <w:t>；</w:t>
      </w:r>
    </w:p>
    <w:p w14:paraId="2888A1B8" w14:textId="77777777" w:rsidR="00FA0944" w:rsidRDefault="00000000">
      <w:pPr>
        <w:numPr>
          <w:ilvl w:val="0"/>
          <w:numId w:val="10"/>
        </w:numPr>
        <w:spacing w:line="300" w:lineRule="auto"/>
        <w:ind w:left="0" w:firstLine="425"/>
        <w:jc w:val="left"/>
        <w:rPr>
          <w:szCs w:val="21"/>
        </w:rPr>
      </w:pPr>
      <w:r>
        <w:t>100 mg/L</w:t>
      </w:r>
      <w:r>
        <w:rPr>
          <w:szCs w:val="21"/>
        </w:rPr>
        <w:t>的混合染料试验溶液</w:t>
      </w:r>
      <w:bookmarkEnd w:id="0"/>
      <w:r>
        <w:rPr>
          <w:szCs w:val="21"/>
        </w:rPr>
        <w:t>：移液管移取</w:t>
      </w:r>
      <w:r>
        <w:t>100 mL</w:t>
      </w:r>
      <w:r>
        <w:t>混合</w:t>
      </w:r>
      <w:r>
        <w:rPr>
          <w:szCs w:val="21"/>
        </w:rPr>
        <w:t>染料储备液</w:t>
      </w:r>
      <w:r>
        <w:t>（</w:t>
      </w:r>
      <w:r>
        <w:t>A.1.4</w:t>
      </w:r>
      <w:r>
        <w:t>）</w:t>
      </w:r>
      <w:r>
        <w:rPr>
          <w:szCs w:val="21"/>
        </w:rPr>
        <w:t>至</w:t>
      </w:r>
      <w:r>
        <w:t>1 000 mL</w:t>
      </w:r>
      <w:r>
        <w:rPr>
          <w:szCs w:val="21"/>
        </w:rPr>
        <w:t>容量瓶中（两种混和染料试验溶液需分别配制），用</w:t>
      </w:r>
      <w:r>
        <w:t>250 mg/kg</w:t>
      </w:r>
      <w:r>
        <w:rPr>
          <w:bCs/>
          <w:color w:val="000000"/>
          <w:kern w:val="0"/>
          <w:szCs w:val="21"/>
        </w:rPr>
        <w:t>硬</w:t>
      </w:r>
      <w:r>
        <w:rPr>
          <w:szCs w:val="21"/>
        </w:rPr>
        <w:t>水稀释至</w:t>
      </w:r>
      <w:r>
        <w:t>刻度</w:t>
      </w:r>
      <w:r>
        <w:rPr>
          <w:szCs w:val="21"/>
        </w:rPr>
        <w:t>，摇匀。</w:t>
      </w:r>
    </w:p>
    <w:p w14:paraId="1CB0E531" w14:textId="77777777" w:rsidR="00FA0944" w:rsidRDefault="00000000">
      <w:pPr>
        <w:spacing w:line="360" w:lineRule="auto"/>
        <w:jc w:val="left"/>
        <w:rPr>
          <w:rFonts w:eastAsia="黑体"/>
          <w:szCs w:val="21"/>
        </w:rPr>
      </w:pPr>
      <w:r>
        <w:rPr>
          <w:rFonts w:eastAsia="黑体"/>
          <w:szCs w:val="21"/>
        </w:rPr>
        <w:t xml:space="preserve">A.2 </w:t>
      </w:r>
      <w:r>
        <w:rPr>
          <w:rFonts w:eastAsia="黑体"/>
          <w:szCs w:val="21"/>
        </w:rPr>
        <w:t>仪器设备</w:t>
      </w:r>
    </w:p>
    <w:p w14:paraId="49553801" w14:textId="77777777" w:rsidR="00FA0944" w:rsidRDefault="00000000">
      <w:pPr>
        <w:spacing w:line="300" w:lineRule="auto"/>
        <w:jc w:val="left"/>
        <w:rPr>
          <w:szCs w:val="21"/>
        </w:rPr>
      </w:pPr>
      <w:r>
        <w:rPr>
          <w:szCs w:val="21"/>
        </w:rPr>
        <w:t xml:space="preserve">    </w:t>
      </w:r>
      <w:r>
        <w:rPr>
          <w:szCs w:val="21"/>
        </w:rPr>
        <w:t>试验用仪器设备：</w:t>
      </w:r>
    </w:p>
    <w:p w14:paraId="655268D6" w14:textId="77777777" w:rsidR="00FA0944" w:rsidRDefault="00000000">
      <w:pPr>
        <w:numPr>
          <w:ilvl w:val="0"/>
          <w:numId w:val="11"/>
        </w:numPr>
        <w:spacing w:line="300" w:lineRule="auto"/>
        <w:ind w:left="0" w:firstLine="425"/>
        <w:jc w:val="left"/>
        <w:rPr>
          <w:szCs w:val="21"/>
        </w:rPr>
      </w:pPr>
      <w:r>
        <w:rPr>
          <w:szCs w:val="21"/>
        </w:rPr>
        <w:t>分析天平，精度</w:t>
      </w:r>
      <w:r>
        <w:t>0.</w:t>
      </w:r>
      <w:r>
        <w:rPr>
          <w:rFonts w:hint="eastAsia"/>
        </w:rPr>
        <w:t>2</w:t>
      </w:r>
      <w:r>
        <w:t xml:space="preserve"> </w:t>
      </w:r>
      <w:r>
        <w:rPr>
          <w:rFonts w:hint="eastAsia"/>
        </w:rPr>
        <w:t>m</w:t>
      </w:r>
      <w:r>
        <w:t>g</w:t>
      </w:r>
      <w:r>
        <w:rPr>
          <w:szCs w:val="21"/>
        </w:rPr>
        <w:t>；</w:t>
      </w:r>
    </w:p>
    <w:p w14:paraId="258CB7DB" w14:textId="77777777" w:rsidR="00FA0944" w:rsidRDefault="00000000">
      <w:pPr>
        <w:numPr>
          <w:ilvl w:val="0"/>
          <w:numId w:val="11"/>
        </w:numPr>
        <w:spacing w:line="300" w:lineRule="auto"/>
        <w:ind w:left="0" w:firstLine="425"/>
        <w:jc w:val="left"/>
        <w:rPr>
          <w:szCs w:val="21"/>
        </w:rPr>
      </w:pPr>
      <w:r>
        <w:rPr>
          <w:szCs w:val="21"/>
        </w:rPr>
        <w:t>分光光度计，附有</w:t>
      </w:r>
      <w:r>
        <w:t>10 mm</w:t>
      </w:r>
      <w:r>
        <w:rPr>
          <w:szCs w:val="21"/>
        </w:rPr>
        <w:t>比色皿；</w:t>
      </w:r>
    </w:p>
    <w:p w14:paraId="2276056E" w14:textId="77777777" w:rsidR="00FA0944" w:rsidRDefault="00000000">
      <w:pPr>
        <w:numPr>
          <w:ilvl w:val="0"/>
          <w:numId w:val="11"/>
        </w:numPr>
        <w:spacing w:line="300" w:lineRule="auto"/>
        <w:ind w:left="0" w:firstLine="425"/>
        <w:jc w:val="left"/>
        <w:rPr>
          <w:szCs w:val="21"/>
        </w:rPr>
      </w:pPr>
      <w:r>
        <w:rPr>
          <w:szCs w:val="21"/>
        </w:rPr>
        <w:t>磁力搅拌器，配有直径</w:t>
      </w:r>
      <w:r>
        <w:t>8 mm</w:t>
      </w:r>
      <w:r>
        <w:rPr>
          <w:szCs w:val="21"/>
        </w:rPr>
        <w:t>,</w:t>
      </w:r>
      <w:r>
        <w:rPr>
          <w:szCs w:val="21"/>
        </w:rPr>
        <w:t>长度</w:t>
      </w:r>
      <w:r>
        <w:t>30 mm</w:t>
      </w:r>
      <w:r>
        <w:rPr>
          <w:szCs w:val="21"/>
        </w:rPr>
        <w:t>圆柱形磁子；</w:t>
      </w:r>
    </w:p>
    <w:p w14:paraId="24BB21A2" w14:textId="77777777" w:rsidR="00FA0944" w:rsidRDefault="00000000">
      <w:pPr>
        <w:numPr>
          <w:ilvl w:val="0"/>
          <w:numId w:val="11"/>
        </w:numPr>
        <w:spacing w:line="300" w:lineRule="auto"/>
        <w:ind w:left="0" w:firstLine="425"/>
        <w:jc w:val="left"/>
        <w:rPr>
          <w:szCs w:val="21"/>
        </w:rPr>
      </w:pPr>
      <w:r>
        <w:rPr>
          <w:szCs w:val="21"/>
        </w:rPr>
        <w:t>容量瓶</w:t>
      </w:r>
      <w:r>
        <w:t>100 mL</w:t>
      </w:r>
      <w:r>
        <w:t>、</w:t>
      </w:r>
      <w:r>
        <w:t>1 000 mL</w:t>
      </w:r>
      <w:r>
        <w:rPr>
          <w:szCs w:val="21"/>
        </w:rPr>
        <w:t>；</w:t>
      </w:r>
    </w:p>
    <w:p w14:paraId="3A060112" w14:textId="77777777" w:rsidR="00FA0944" w:rsidRDefault="00000000">
      <w:pPr>
        <w:numPr>
          <w:ilvl w:val="0"/>
          <w:numId w:val="11"/>
        </w:numPr>
        <w:spacing w:line="300" w:lineRule="auto"/>
        <w:ind w:left="0" w:firstLine="425"/>
        <w:jc w:val="left"/>
        <w:rPr>
          <w:szCs w:val="21"/>
        </w:rPr>
      </w:pPr>
      <w:r>
        <w:rPr>
          <w:szCs w:val="21"/>
        </w:rPr>
        <w:t>刻度移液管：</w:t>
      </w:r>
      <w:r>
        <w:t>10 mL</w:t>
      </w:r>
      <w:r>
        <w:rPr>
          <w:szCs w:val="21"/>
        </w:rPr>
        <w:t>；</w:t>
      </w:r>
    </w:p>
    <w:p w14:paraId="1363D261" w14:textId="77777777" w:rsidR="00FA0944" w:rsidRDefault="00000000">
      <w:pPr>
        <w:numPr>
          <w:ilvl w:val="0"/>
          <w:numId w:val="11"/>
        </w:numPr>
        <w:spacing w:line="300" w:lineRule="auto"/>
        <w:ind w:left="0" w:firstLine="425"/>
        <w:jc w:val="left"/>
        <w:rPr>
          <w:szCs w:val="21"/>
        </w:rPr>
      </w:pPr>
      <w:r>
        <w:rPr>
          <w:szCs w:val="21"/>
        </w:rPr>
        <w:t>移液管：</w:t>
      </w:r>
      <w:r>
        <w:t>100 mL</w:t>
      </w:r>
      <w:r>
        <w:rPr>
          <w:szCs w:val="21"/>
        </w:rPr>
        <w:t>；</w:t>
      </w:r>
    </w:p>
    <w:p w14:paraId="778A879C" w14:textId="77777777" w:rsidR="00FA0944" w:rsidRDefault="00000000">
      <w:pPr>
        <w:numPr>
          <w:ilvl w:val="0"/>
          <w:numId w:val="11"/>
        </w:numPr>
        <w:spacing w:line="300" w:lineRule="auto"/>
        <w:ind w:firstLine="1"/>
        <w:jc w:val="left"/>
        <w:rPr>
          <w:szCs w:val="21"/>
        </w:rPr>
      </w:pPr>
      <w:r>
        <w:rPr>
          <w:szCs w:val="21"/>
        </w:rPr>
        <w:t>烧杯：</w:t>
      </w:r>
      <w:r>
        <w:t>150 mL</w:t>
      </w:r>
      <w:r>
        <w:t>、</w:t>
      </w:r>
      <w:r>
        <w:t>500 mL</w:t>
      </w:r>
      <w:r>
        <w:t>、</w:t>
      </w:r>
      <w:r>
        <w:t>1 000 mL</w:t>
      </w:r>
      <w:r>
        <w:rPr>
          <w:szCs w:val="21"/>
        </w:rPr>
        <w:t>；</w:t>
      </w:r>
    </w:p>
    <w:p w14:paraId="18816A9A" w14:textId="77777777" w:rsidR="00FA0944" w:rsidRDefault="00000000">
      <w:pPr>
        <w:numPr>
          <w:ilvl w:val="0"/>
          <w:numId w:val="11"/>
        </w:numPr>
        <w:spacing w:line="300" w:lineRule="auto"/>
        <w:ind w:left="0" w:firstLine="425"/>
        <w:jc w:val="left"/>
        <w:rPr>
          <w:szCs w:val="21"/>
        </w:rPr>
      </w:pPr>
      <w:r>
        <w:rPr>
          <w:szCs w:val="21"/>
        </w:rPr>
        <w:t>温度计。</w:t>
      </w:r>
    </w:p>
    <w:p w14:paraId="37E36465" w14:textId="77777777" w:rsidR="00FA0944" w:rsidRDefault="00000000">
      <w:pPr>
        <w:spacing w:line="360" w:lineRule="auto"/>
        <w:jc w:val="left"/>
        <w:rPr>
          <w:rFonts w:eastAsia="黑体"/>
          <w:szCs w:val="21"/>
        </w:rPr>
      </w:pPr>
      <w:r>
        <w:rPr>
          <w:rFonts w:eastAsia="黑体"/>
          <w:szCs w:val="21"/>
        </w:rPr>
        <w:t xml:space="preserve">A.3 </w:t>
      </w:r>
      <w:r>
        <w:rPr>
          <w:rFonts w:eastAsia="黑体"/>
          <w:szCs w:val="21"/>
        </w:rPr>
        <w:t>试验步骤</w:t>
      </w:r>
    </w:p>
    <w:p w14:paraId="298F575A" w14:textId="77777777" w:rsidR="00FA0944" w:rsidRDefault="00000000">
      <w:pPr>
        <w:spacing w:line="360" w:lineRule="auto"/>
        <w:jc w:val="left"/>
        <w:rPr>
          <w:rFonts w:eastAsia="黑体"/>
          <w:szCs w:val="21"/>
        </w:rPr>
      </w:pPr>
      <w:r>
        <w:rPr>
          <w:rFonts w:eastAsia="黑体"/>
          <w:szCs w:val="21"/>
        </w:rPr>
        <w:t>A.3.1</w:t>
      </w:r>
      <w:r>
        <w:rPr>
          <w:rFonts w:eastAsia="黑体"/>
          <w:szCs w:val="21"/>
        </w:rPr>
        <w:t>试样预处理</w:t>
      </w:r>
    </w:p>
    <w:p w14:paraId="7B16D74E" w14:textId="77777777" w:rsidR="00FA0944" w:rsidRDefault="00000000">
      <w:pPr>
        <w:spacing w:line="300" w:lineRule="auto"/>
        <w:ind w:firstLineChars="200" w:firstLine="420"/>
        <w:jc w:val="left"/>
        <w:rPr>
          <w:szCs w:val="21"/>
        </w:rPr>
      </w:pPr>
      <w:r>
        <w:rPr>
          <w:szCs w:val="21"/>
        </w:rPr>
        <w:t>将样品通过洗涤及多次漂洗方式去除附载的洗涤剂，得到样品中的无纺吸色布，晾干后裁剪成</w:t>
      </w:r>
      <w:r>
        <w:t>1 cm × 1 cm</w:t>
      </w:r>
      <w:r>
        <w:rPr>
          <w:szCs w:val="21"/>
        </w:rPr>
        <w:t>小片备用。</w:t>
      </w:r>
    </w:p>
    <w:p w14:paraId="364ED3B5" w14:textId="2973E203" w:rsidR="00FA0944" w:rsidRDefault="00000000">
      <w:pPr>
        <w:spacing w:line="300" w:lineRule="auto"/>
        <w:ind w:firstLineChars="200" w:firstLine="360"/>
        <w:jc w:val="left"/>
        <w:rPr>
          <w:sz w:val="18"/>
          <w:szCs w:val="18"/>
        </w:rPr>
      </w:pPr>
      <w:r>
        <w:rPr>
          <w:sz w:val="18"/>
          <w:szCs w:val="18"/>
        </w:rPr>
        <w:t>注：晾干可采用多种方式，如用夹子悬挂晾干、置于鼓风箱中等，尽量</w:t>
      </w:r>
      <w:r w:rsidR="00865942">
        <w:rPr>
          <w:rFonts w:hint="eastAsia"/>
          <w:sz w:val="18"/>
          <w:szCs w:val="18"/>
        </w:rPr>
        <w:t>使</w:t>
      </w:r>
      <w:r>
        <w:rPr>
          <w:sz w:val="18"/>
          <w:szCs w:val="18"/>
        </w:rPr>
        <w:t>布片平整。</w:t>
      </w:r>
    </w:p>
    <w:p w14:paraId="091C90B6" w14:textId="77777777" w:rsidR="00FA0944" w:rsidRDefault="00000000">
      <w:pPr>
        <w:spacing w:line="360" w:lineRule="auto"/>
        <w:jc w:val="left"/>
        <w:rPr>
          <w:rFonts w:eastAsia="黑体"/>
          <w:bCs/>
          <w:color w:val="000000"/>
          <w:kern w:val="0"/>
          <w:szCs w:val="21"/>
        </w:rPr>
      </w:pPr>
      <w:r>
        <w:rPr>
          <w:rFonts w:eastAsia="黑体"/>
          <w:bCs/>
          <w:color w:val="000000"/>
          <w:kern w:val="0"/>
          <w:szCs w:val="21"/>
        </w:rPr>
        <w:t xml:space="preserve">A.3.2 </w:t>
      </w:r>
      <w:r>
        <w:rPr>
          <w:rFonts w:eastAsia="黑体"/>
          <w:bCs/>
          <w:color w:val="000000"/>
          <w:kern w:val="0"/>
          <w:szCs w:val="21"/>
        </w:rPr>
        <w:t>规定染料吸附量测定</w:t>
      </w:r>
    </w:p>
    <w:p w14:paraId="27E8544F" w14:textId="77777777" w:rsidR="00FA0944" w:rsidRDefault="00000000">
      <w:pPr>
        <w:spacing w:line="360" w:lineRule="auto"/>
        <w:jc w:val="left"/>
        <w:rPr>
          <w:rFonts w:eastAsia="黑体"/>
          <w:bCs/>
          <w:color w:val="000000"/>
          <w:kern w:val="0"/>
          <w:szCs w:val="21"/>
        </w:rPr>
      </w:pPr>
      <w:r>
        <w:rPr>
          <w:rFonts w:eastAsia="黑体"/>
          <w:bCs/>
          <w:color w:val="000000"/>
          <w:kern w:val="0"/>
          <w:szCs w:val="21"/>
        </w:rPr>
        <w:t>A.3.2.1</w:t>
      </w:r>
      <w:r>
        <w:rPr>
          <w:rFonts w:eastAsia="黑体"/>
          <w:bCs/>
          <w:color w:val="000000"/>
          <w:kern w:val="0"/>
          <w:szCs w:val="21"/>
        </w:rPr>
        <w:t>标准曲线制作</w:t>
      </w:r>
    </w:p>
    <w:p w14:paraId="16F72B66" w14:textId="77777777" w:rsidR="00FA0944" w:rsidRDefault="00000000">
      <w:pPr>
        <w:spacing w:line="300" w:lineRule="auto"/>
        <w:ind w:firstLineChars="200" w:firstLine="420"/>
        <w:jc w:val="left"/>
        <w:rPr>
          <w:szCs w:val="21"/>
        </w:rPr>
      </w:pPr>
      <w:r>
        <w:rPr>
          <w:szCs w:val="21"/>
        </w:rPr>
        <w:t>取</w:t>
      </w:r>
      <w:r>
        <w:t>1 g/L</w:t>
      </w:r>
      <w:r>
        <w:rPr>
          <w:szCs w:val="21"/>
        </w:rPr>
        <w:t>的混合染料储备液</w:t>
      </w:r>
      <w:r>
        <w:t>（</w:t>
      </w:r>
      <w:r>
        <w:t>A.1.4</w:t>
      </w:r>
      <w:r>
        <w:t>））</w:t>
      </w:r>
      <w:r>
        <w:t>1.0 mL</w:t>
      </w:r>
      <w:r>
        <w:t>、</w:t>
      </w:r>
      <w:r>
        <w:t>2.0 mL</w:t>
      </w:r>
      <w:r>
        <w:t>、</w:t>
      </w:r>
      <w:r>
        <w:t>4.0 mL</w:t>
      </w:r>
      <w:r>
        <w:t>、</w:t>
      </w:r>
      <w:r>
        <w:t>6.0 mL</w:t>
      </w:r>
      <w:r>
        <w:t>、</w:t>
      </w:r>
      <w:r>
        <w:t>8.0 mL</w:t>
      </w:r>
      <w:r>
        <w:t>、</w:t>
      </w:r>
      <w:r>
        <w:t>10.0 mL</w:t>
      </w:r>
      <w:r>
        <w:t>、</w:t>
      </w:r>
      <w:r>
        <w:t>12.0 mL</w:t>
      </w:r>
      <w:r>
        <w:rPr>
          <w:szCs w:val="21"/>
        </w:rPr>
        <w:t>至</w:t>
      </w:r>
      <w:r>
        <w:t>100 mL</w:t>
      </w:r>
      <w:r>
        <w:rPr>
          <w:szCs w:val="21"/>
        </w:rPr>
        <w:t>容量瓶中，用</w:t>
      </w:r>
      <w:r>
        <w:rPr>
          <w:bCs/>
          <w:color w:val="000000"/>
          <w:kern w:val="0"/>
          <w:szCs w:val="21"/>
        </w:rPr>
        <w:t>硬</w:t>
      </w:r>
      <w:r>
        <w:rPr>
          <w:szCs w:val="21"/>
        </w:rPr>
        <w:t>水（</w:t>
      </w:r>
      <w:r>
        <w:rPr>
          <w:szCs w:val="21"/>
        </w:rPr>
        <w:t>A.1.3</w:t>
      </w:r>
      <w:r>
        <w:rPr>
          <w:szCs w:val="21"/>
        </w:rPr>
        <w:t>）稀释至刻度，摇匀。在</w:t>
      </w:r>
      <w:r>
        <w:rPr>
          <w:rFonts w:hint="eastAsia"/>
        </w:rPr>
        <w:t>（</w:t>
      </w:r>
      <w:r>
        <w:t>25</w:t>
      </w:r>
      <w:r>
        <w:rPr>
          <w:rFonts w:hint="eastAsia"/>
        </w:rPr>
        <w:t xml:space="preserve"> </w:t>
      </w:r>
      <w:r>
        <w:t>±</w:t>
      </w:r>
      <w:r>
        <w:rPr>
          <w:rFonts w:hint="eastAsia"/>
        </w:rPr>
        <w:t xml:space="preserve"> </w:t>
      </w:r>
      <w:r>
        <w:t>2</w:t>
      </w:r>
      <w:r>
        <w:rPr>
          <w:rFonts w:hint="eastAsia"/>
        </w:rPr>
        <w:t>）</w:t>
      </w:r>
      <w:r>
        <w:rPr>
          <w:szCs w:val="21"/>
        </w:rPr>
        <w:t>℃</w:t>
      </w:r>
      <w:r>
        <w:rPr>
          <w:szCs w:val="21"/>
        </w:rPr>
        <w:t>下，用分光光度计以</w:t>
      </w:r>
      <w:r>
        <w:rPr>
          <w:szCs w:val="21"/>
        </w:rPr>
        <w:t>10 mm</w:t>
      </w:r>
      <w:r>
        <w:rPr>
          <w:szCs w:val="21"/>
        </w:rPr>
        <w:t>比色皿，</w:t>
      </w:r>
      <w:r>
        <w:rPr>
          <w:bCs/>
          <w:color w:val="000000"/>
          <w:kern w:val="0"/>
          <w:szCs w:val="21"/>
        </w:rPr>
        <w:t>硬</w:t>
      </w:r>
      <w:r>
        <w:rPr>
          <w:szCs w:val="21"/>
        </w:rPr>
        <w:t>水（</w:t>
      </w:r>
      <w:r>
        <w:rPr>
          <w:szCs w:val="21"/>
        </w:rPr>
        <w:t>A.1.3</w:t>
      </w:r>
      <w:r>
        <w:rPr>
          <w:szCs w:val="21"/>
        </w:rPr>
        <w:t>）作参比，测定所配系列溶液的吸光度（对于活性混合染料波长设定为</w:t>
      </w:r>
      <w:r>
        <w:rPr>
          <w:szCs w:val="21"/>
        </w:rPr>
        <w:t>550 nm</w:t>
      </w:r>
      <w:r>
        <w:rPr>
          <w:szCs w:val="21"/>
        </w:rPr>
        <w:t>，直接混合染料波长设定为</w:t>
      </w:r>
      <w:r>
        <w:t>565 nm</w:t>
      </w:r>
      <w:r>
        <w:rPr>
          <w:szCs w:val="21"/>
        </w:rPr>
        <w:t>），两种混合染料分别以系列溶液浓度（</w:t>
      </w:r>
      <w:r>
        <w:rPr>
          <w:szCs w:val="21"/>
        </w:rPr>
        <w:t>mg/L</w:t>
      </w:r>
      <w:r>
        <w:rPr>
          <w:szCs w:val="21"/>
        </w:rPr>
        <w:t>）为横坐标，吸光度为纵坐标绘制标准曲线，线性相关系数</w:t>
      </w:r>
      <w:r>
        <w:t>r²≥0.99</w:t>
      </w:r>
      <w:r>
        <w:rPr>
          <w:szCs w:val="21"/>
        </w:rPr>
        <w:t>。</w:t>
      </w:r>
    </w:p>
    <w:p w14:paraId="2348B396" w14:textId="77777777" w:rsidR="00FA0944" w:rsidRDefault="00000000">
      <w:pPr>
        <w:spacing w:line="300" w:lineRule="auto"/>
        <w:ind w:firstLineChars="200" w:firstLine="420"/>
        <w:jc w:val="left"/>
        <w:rPr>
          <w:szCs w:val="21"/>
        </w:rPr>
      </w:pPr>
      <w:r>
        <w:rPr>
          <w:szCs w:val="21"/>
        </w:rPr>
        <w:t>当染料批次更换时，需重新制作标准曲线。</w:t>
      </w:r>
    </w:p>
    <w:p w14:paraId="371E3891" w14:textId="77777777" w:rsidR="00FA0944" w:rsidRDefault="00000000">
      <w:pPr>
        <w:spacing w:line="360" w:lineRule="auto"/>
        <w:jc w:val="left"/>
        <w:rPr>
          <w:rFonts w:eastAsia="黑体"/>
          <w:bCs/>
          <w:color w:val="000000"/>
          <w:kern w:val="0"/>
          <w:szCs w:val="21"/>
        </w:rPr>
      </w:pPr>
      <w:r>
        <w:rPr>
          <w:rFonts w:eastAsia="黑体"/>
          <w:bCs/>
          <w:color w:val="000000"/>
          <w:kern w:val="0"/>
          <w:szCs w:val="21"/>
        </w:rPr>
        <w:t>A.3.2.2</w:t>
      </w:r>
      <w:r>
        <w:rPr>
          <w:rFonts w:eastAsia="黑体"/>
          <w:bCs/>
          <w:color w:val="000000"/>
          <w:kern w:val="0"/>
          <w:szCs w:val="21"/>
        </w:rPr>
        <w:t>吸附量测定</w:t>
      </w:r>
    </w:p>
    <w:p w14:paraId="1D6CD98F" w14:textId="77777777" w:rsidR="00FA0944" w:rsidRDefault="00000000">
      <w:pPr>
        <w:spacing w:line="300" w:lineRule="auto"/>
        <w:ind w:firstLineChars="200" w:firstLine="420"/>
        <w:jc w:val="left"/>
        <w:rPr>
          <w:szCs w:val="21"/>
        </w:rPr>
      </w:pPr>
      <w:r>
        <w:rPr>
          <w:szCs w:val="21"/>
        </w:rPr>
        <w:t>称取预处理后的试样</w:t>
      </w:r>
      <w:r>
        <w:rPr>
          <w:szCs w:val="21"/>
        </w:rPr>
        <w:t>0.100 g</w:t>
      </w:r>
      <w:r>
        <w:rPr>
          <w:szCs w:val="21"/>
        </w:rPr>
        <w:t>（</w:t>
      </w:r>
      <w:r>
        <w:rPr>
          <w:szCs w:val="21"/>
        </w:rPr>
        <w:t>A.3.1</w:t>
      </w:r>
      <w:r>
        <w:rPr>
          <w:szCs w:val="21"/>
        </w:rPr>
        <w:t>）（称准至</w:t>
      </w:r>
      <w:r>
        <w:rPr>
          <w:szCs w:val="21"/>
        </w:rPr>
        <w:t>0.</w:t>
      </w:r>
      <w:r>
        <w:t>001</w:t>
      </w:r>
      <w:r>
        <w:rPr>
          <w:szCs w:val="21"/>
        </w:rPr>
        <w:t xml:space="preserve"> g</w:t>
      </w:r>
      <w:r>
        <w:rPr>
          <w:szCs w:val="21"/>
        </w:rPr>
        <w:t>），记录重量</w:t>
      </w:r>
      <w:r>
        <w:rPr>
          <w:i/>
          <w:iCs/>
          <w:szCs w:val="21"/>
        </w:rPr>
        <w:t>m</w:t>
      </w:r>
      <w:r>
        <w:rPr>
          <w:szCs w:val="21"/>
          <w:vertAlign w:val="subscript"/>
        </w:rPr>
        <w:t>0</w:t>
      </w:r>
      <w:r>
        <w:rPr>
          <w:szCs w:val="21"/>
        </w:rPr>
        <w:t>。移取</w:t>
      </w:r>
      <w:r>
        <w:rPr>
          <w:szCs w:val="21"/>
        </w:rPr>
        <w:t>100 mL</w:t>
      </w:r>
      <w:r>
        <w:rPr>
          <w:szCs w:val="21"/>
        </w:rPr>
        <w:t>混合染料</w:t>
      </w:r>
      <w:r>
        <w:rPr>
          <w:szCs w:val="21"/>
        </w:rPr>
        <w:lastRenderedPageBreak/>
        <w:t>试验溶液（</w:t>
      </w:r>
      <w:r>
        <w:rPr>
          <w:szCs w:val="21"/>
        </w:rPr>
        <w:t>A.1.5</w:t>
      </w:r>
      <w:r>
        <w:rPr>
          <w:szCs w:val="21"/>
        </w:rPr>
        <w:t>）（两种混和染料需分别测定）至</w:t>
      </w:r>
      <w:r>
        <w:rPr>
          <w:szCs w:val="21"/>
        </w:rPr>
        <w:t>150 mL</w:t>
      </w:r>
      <w:r>
        <w:rPr>
          <w:szCs w:val="21"/>
        </w:rPr>
        <w:t>烧杯中，磁力搅拌器转速设置为</w:t>
      </w:r>
      <w:r>
        <w:rPr>
          <w:szCs w:val="21"/>
        </w:rPr>
        <w:t>120 r/min</w:t>
      </w:r>
      <w:r>
        <w:rPr>
          <w:szCs w:val="21"/>
        </w:rPr>
        <w:t>，放入磁子，在</w:t>
      </w:r>
      <w:r>
        <w:rPr>
          <w:rFonts w:hint="eastAsia"/>
        </w:rPr>
        <w:t>（</w:t>
      </w:r>
      <w:r>
        <w:t>25</w:t>
      </w:r>
      <w:r>
        <w:rPr>
          <w:rFonts w:hint="eastAsia"/>
        </w:rPr>
        <w:t xml:space="preserve"> </w:t>
      </w:r>
      <w:r>
        <w:t>±</w:t>
      </w:r>
      <w:r>
        <w:rPr>
          <w:rFonts w:hint="eastAsia"/>
        </w:rPr>
        <w:t xml:space="preserve"> </w:t>
      </w:r>
      <w:r>
        <w:t>2</w:t>
      </w:r>
      <w:r>
        <w:rPr>
          <w:rFonts w:hint="eastAsia"/>
        </w:rPr>
        <w:t>）</w:t>
      </w:r>
      <w:r>
        <w:rPr>
          <w:szCs w:val="21"/>
        </w:rPr>
        <w:t>℃</w:t>
      </w:r>
      <w:r>
        <w:rPr>
          <w:szCs w:val="21"/>
        </w:rPr>
        <w:t>下，开启磁力搅拌器，搅拌</w:t>
      </w:r>
      <w:r>
        <w:rPr>
          <w:szCs w:val="21"/>
        </w:rPr>
        <w:t>1 min</w:t>
      </w:r>
      <w:r>
        <w:rPr>
          <w:szCs w:val="21"/>
        </w:rPr>
        <w:t>后，迅速放入试样并开始计时，</w:t>
      </w:r>
      <w:r>
        <w:rPr>
          <w:szCs w:val="21"/>
        </w:rPr>
        <w:t>20 min</w:t>
      </w:r>
      <w:r>
        <w:rPr>
          <w:szCs w:val="21"/>
        </w:rPr>
        <w:t>后停止搅拌，取约</w:t>
      </w:r>
      <w:r>
        <w:rPr>
          <w:szCs w:val="21"/>
        </w:rPr>
        <w:t>25 mL</w:t>
      </w:r>
      <w:r>
        <w:rPr>
          <w:szCs w:val="21"/>
        </w:rPr>
        <w:t>的溶液，按</w:t>
      </w:r>
      <w:r>
        <w:rPr>
          <w:szCs w:val="21"/>
        </w:rPr>
        <w:t>A.3.2.1</w:t>
      </w:r>
      <w:r>
        <w:rPr>
          <w:szCs w:val="21"/>
        </w:rPr>
        <w:t>的方式测定溶液吸光度，</w:t>
      </w:r>
      <w:r>
        <w:rPr>
          <w:bCs/>
          <w:color w:val="000000"/>
          <w:kern w:val="0"/>
          <w:szCs w:val="21"/>
        </w:rPr>
        <w:t>由吸光度从标准曲线上查得两种混合染料的</w:t>
      </w:r>
      <w:r>
        <w:rPr>
          <w:szCs w:val="21"/>
        </w:rPr>
        <w:t>浓度</w:t>
      </w:r>
      <w:r>
        <w:rPr>
          <w:bCs/>
          <w:i/>
          <w:iCs/>
          <w:color w:val="000000"/>
          <w:kern w:val="0"/>
          <w:szCs w:val="21"/>
        </w:rPr>
        <w:t>C</w:t>
      </w:r>
      <w:r>
        <w:rPr>
          <w:bCs/>
          <w:color w:val="000000"/>
          <w:kern w:val="0"/>
          <w:szCs w:val="21"/>
          <w:vertAlign w:val="subscript"/>
        </w:rPr>
        <w:t>2</w:t>
      </w:r>
      <w:r>
        <w:rPr>
          <w:bCs/>
          <w:color w:val="000000"/>
          <w:kern w:val="0"/>
          <w:szCs w:val="21"/>
        </w:rPr>
        <w:t>（</w:t>
      </w:r>
      <w:r>
        <w:rPr>
          <w:bCs/>
          <w:color w:val="000000"/>
          <w:kern w:val="0"/>
          <w:szCs w:val="21"/>
        </w:rPr>
        <w:t>mg/L</w:t>
      </w:r>
      <w:r>
        <w:rPr>
          <w:bCs/>
          <w:color w:val="000000"/>
          <w:kern w:val="0"/>
          <w:szCs w:val="21"/>
        </w:rPr>
        <w:t>）</w:t>
      </w:r>
      <w:r>
        <w:rPr>
          <w:szCs w:val="21"/>
        </w:rPr>
        <w:t>。</w:t>
      </w:r>
    </w:p>
    <w:p w14:paraId="73E31657" w14:textId="77777777" w:rsidR="00FA0944" w:rsidRDefault="00000000">
      <w:pPr>
        <w:spacing w:line="360" w:lineRule="auto"/>
        <w:jc w:val="left"/>
        <w:rPr>
          <w:rFonts w:eastAsia="黑体"/>
          <w:bCs/>
          <w:color w:val="000000"/>
          <w:kern w:val="0"/>
          <w:szCs w:val="21"/>
        </w:rPr>
      </w:pPr>
      <w:r>
        <w:rPr>
          <w:rFonts w:eastAsia="黑体"/>
          <w:bCs/>
          <w:color w:val="000000"/>
          <w:kern w:val="0"/>
          <w:szCs w:val="21"/>
        </w:rPr>
        <w:t>A.3.3</w:t>
      </w:r>
      <w:r>
        <w:rPr>
          <w:rFonts w:eastAsia="黑体"/>
          <w:bCs/>
          <w:color w:val="000000"/>
          <w:kern w:val="0"/>
          <w:szCs w:val="21"/>
        </w:rPr>
        <w:t>结果计算</w:t>
      </w:r>
    </w:p>
    <w:p w14:paraId="69DD0E2D" w14:textId="77777777" w:rsidR="00FA0944" w:rsidRDefault="00000000">
      <w:pPr>
        <w:spacing w:line="360" w:lineRule="auto"/>
        <w:ind w:firstLineChars="200" w:firstLine="420"/>
        <w:jc w:val="left"/>
        <w:rPr>
          <w:szCs w:val="21"/>
        </w:rPr>
      </w:pPr>
      <w:r>
        <w:rPr>
          <w:szCs w:val="21"/>
        </w:rPr>
        <w:t>规定染料吸附量（</w:t>
      </w:r>
      <w:r>
        <w:rPr>
          <w:szCs w:val="21"/>
        </w:rPr>
        <w:t>X</w:t>
      </w:r>
      <w:r>
        <w:rPr>
          <w:szCs w:val="21"/>
        </w:rPr>
        <w:t>）按式（</w:t>
      </w:r>
      <w:r>
        <w:rPr>
          <w:szCs w:val="21"/>
        </w:rPr>
        <w:t>1</w:t>
      </w:r>
      <w:r>
        <w:rPr>
          <w:szCs w:val="21"/>
        </w:rPr>
        <w:t>）计算。</w:t>
      </w:r>
    </w:p>
    <w:p w14:paraId="6075B6E0" w14:textId="77777777" w:rsidR="00FA0944" w:rsidRDefault="00000000">
      <w:pPr>
        <w:spacing w:line="360" w:lineRule="auto"/>
        <w:ind w:firstLineChars="200" w:firstLine="420"/>
        <w:jc w:val="center"/>
        <w:rPr>
          <w:szCs w:val="21"/>
        </w:rPr>
      </w:pPr>
      <m:oMathPara>
        <m:oMath>
          <m:r>
            <w:rPr>
              <w:rFonts w:ascii="Cambria Math" w:hAnsi="Cambria Math"/>
              <w:szCs w:val="21"/>
            </w:rPr>
            <m:t>X=</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C</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2</m:t>
                  </m:r>
                </m:sub>
              </m:sSub>
            </m:num>
            <m:den>
              <m:sSub>
                <m:sSubPr>
                  <m:ctrlPr>
                    <w:rPr>
                      <w:rFonts w:ascii="Cambria Math" w:hAnsi="Cambria Math"/>
                      <w:i/>
                      <w:szCs w:val="21"/>
                    </w:rPr>
                  </m:ctrlPr>
                </m:sSubPr>
                <m:e>
                  <m:r>
                    <w:rPr>
                      <w:rFonts w:ascii="Cambria Math" w:hAnsi="Cambria Math"/>
                      <w:szCs w:val="21"/>
                    </w:rPr>
                    <m:t>m</m:t>
                  </m:r>
                </m:e>
                <m:sub>
                  <m:r>
                    <w:rPr>
                      <w:rFonts w:ascii="Cambria Math" w:hAnsi="Cambria Math"/>
                      <w:szCs w:val="21"/>
                    </w:rPr>
                    <m:t>0</m:t>
                  </m:r>
                </m:sub>
              </m:sSub>
            </m:den>
          </m:f>
          <m:r>
            <w:rPr>
              <w:rFonts w:ascii="Cambria Math" w:hAnsi="Cambria Math"/>
              <w:szCs w:val="21"/>
            </w:rPr>
            <m:t>×0.1……………………………(1)</m:t>
          </m:r>
        </m:oMath>
      </m:oMathPara>
    </w:p>
    <w:p w14:paraId="1EF5AA1C" w14:textId="77777777" w:rsidR="00FA0944" w:rsidRDefault="00000000">
      <w:pPr>
        <w:spacing w:line="300" w:lineRule="auto"/>
        <w:ind w:firstLineChars="200" w:firstLine="420"/>
        <w:jc w:val="left"/>
        <w:rPr>
          <w:szCs w:val="21"/>
        </w:rPr>
      </w:pPr>
      <w:r>
        <w:rPr>
          <w:szCs w:val="21"/>
        </w:rPr>
        <w:t>式中：</w:t>
      </w:r>
    </w:p>
    <w:p w14:paraId="518BBBE1" w14:textId="77777777" w:rsidR="00FA0944" w:rsidRDefault="00000000">
      <w:pPr>
        <w:spacing w:line="300" w:lineRule="auto"/>
        <w:ind w:firstLineChars="200" w:firstLine="420"/>
        <w:jc w:val="left"/>
        <w:rPr>
          <w:szCs w:val="21"/>
        </w:rPr>
      </w:pPr>
      <w:r>
        <w:rPr>
          <w:i/>
          <w:iCs/>
          <w:szCs w:val="21"/>
        </w:rPr>
        <w:t>X</w:t>
      </w:r>
      <w:r>
        <w:rPr>
          <w:szCs w:val="21"/>
        </w:rPr>
        <w:t>——</w:t>
      </w:r>
      <w:r>
        <w:rPr>
          <w:szCs w:val="21"/>
        </w:rPr>
        <w:t>规定染料吸附量，单位为毫克每克（</w:t>
      </w:r>
      <w:r>
        <w:rPr>
          <w:szCs w:val="21"/>
        </w:rPr>
        <w:t>mg/g</w:t>
      </w:r>
      <w:r>
        <w:rPr>
          <w:szCs w:val="21"/>
        </w:rPr>
        <w:t>）；</w:t>
      </w:r>
    </w:p>
    <w:p w14:paraId="78B37A0E" w14:textId="77777777" w:rsidR="00FA0944" w:rsidRDefault="00000000">
      <w:pPr>
        <w:spacing w:line="300" w:lineRule="auto"/>
        <w:ind w:firstLineChars="200" w:firstLine="420"/>
        <w:jc w:val="left"/>
        <w:rPr>
          <w:szCs w:val="21"/>
        </w:rPr>
      </w:pPr>
      <w:r>
        <w:rPr>
          <w:i/>
          <w:iCs/>
          <w:szCs w:val="21"/>
        </w:rPr>
        <w:t>C</w:t>
      </w:r>
      <w:r>
        <w:rPr>
          <w:i/>
          <w:iCs/>
          <w:szCs w:val="21"/>
          <w:vertAlign w:val="subscript"/>
        </w:rPr>
        <w:t>1</w:t>
      </w:r>
      <w:r>
        <w:rPr>
          <w:szCs w:val="21"/>
        </w:rPr>
        <w:t>——</w:t>
      </w:r>
      <w:r>
        <w:rPr>
          <w:szCs w:val="21"/>
        </w:rPr>
        <w:t>活性混合染料</w:t>
      </w:r>
      <w:r>
        <w:t>或直接混合染料</w:t>
      </w:r>
      <w:r>
        <w:rPr>
          <w:szCs w:val="21"/>
        </w:rPr>
        <w:t>试验溶液（</w:t>
      </w:r>
      <w:r>
        <w:rPr>
          <w:szCs w:val="21"/>
        </w:rPr>
        <w:t>A.1.5</w:t>
      </w:r>
      <w:r>
        <w:rPr>
          <w:szCs w:val="21"/>
        </w:rPr>
        <w:t>））测定前浓度</w:t>
      </w:r>
      <w:r>
        <w:rPr>
          <w:szCs w:val="21"/>
        </w:rPr>
        <w:t>,</w:t>
      </w:r>
      <w:r>
        <w:rPr>
          <w:szCs w:val="21"/>
        </w:rPr>
        <w:t>单位为毫克每升（</w:t>
      </w:r>
      <w:r>
        <w:rPr>
          <w:szCs w:val="21"/>
        </w:rPr>
        <w:t>mg/L</w:t>
      </w:r>
      <w:r>
        <w:rPr>
          <w:szCs w:val="21"/>
        </w:rPr>
        <w:t>）；</w:t>
      </w:r>
    </w:p>
    <w:p w14:paraId="185E6AB1" w14:textId="77777777" w:rsidR="00FA0944" w:rsidRDefault="00000000">
      <w:pPr>
        <w:spacing w:line="300" w:lineRule="auto"/>
        <w:ind w:firstLineChars="200" w:firstLine="420"/>
        <w:jc w:val="left"/>
        <w:rPr>
          <w:szCs w:val="21"/>
        </w:rPr>
      </w:pPr>
      <w:r>
        <w:rPr>
          <w:i/>
          <w:iCs/>
          <w:szCs w:val="21"/>
        </w:rPr>
        <w:t>C</w:t>
      </w:r>
      <w:r>
        <w:rPr>
          <w:i/>
          <w:iCs/>
          <w:szCs w:val="21"/>
          <w:vertAlign w:val="subscript"/>
        </w:rPr>
        <w:t>2</w:t>
      </w:r>
      <w:r>
        <w:rPr>
          <w:szCs w:val="21"/>
        </w:rPr>
        <w:t>——</w:t>
      </w:r>
      <w:r>
        <w:rPr>
          <w:szCs w:val="21"/>
        </w:rPr>
        <w:t>活性混合染料</w:t>
      </w:r>
      <w:r>
        <w:t>或直接混合染料</w:t>
      </w:r>
      <w:r>
        <w:rPr>
          <w:szCs w:val="21"/>
        </w:rPr>
        <w:t>试验溶液测定后浓度</w:t>
      </w:r>
      <w:r>
        <w:rPr>
          <w:szCs w:val="21"/>
        </w:rPr>
        <w:t>,</w:t>
      </w:r>
      <w:r>
        <w:rPr>
          <w:szCs w:val="21"/>
        </w:rPr>
        <w:t>单位为毫克每升（</w:t>
      </w:r>
      <w:r>
        <w:rPr>
          <w:szCs w:val="21"/>
        </w:rPr>
        <w:t>mg/L</w:t>
      </w:r>
      <w:r>
        <w:rPr>
          <w:szCs w:val="21"/>
        </w:rPr>
        <w:t>）；</w:t>
      </w:r>
    </w:p>
    <w:p w14:paraId="792FC8A9" w14:textId="77777777" w:rsidR="00FA0944" w:rsidRDefault="00000000">
      <w:pPr>
        <w:spacing w:line="300" w:lineRule="auto"/>
        <w:ind w:firstLineChars="200" w:firstLine="420"/>
        <w:jc w:val="left"/>
        <w:rPr>
          <w:szCs w:val="21"/>
        </w:rPr>
      </w:pPr>
      <w:r>
        <w:rPr>
          <w:i/>
          <w:iCs/>
          <w:szCs w:val="21"/>
        </w:rPr>
        <w:t>m</w:t>
      </w:r>
      <w:r>
        <w:rPr>
          <w:i/>
          <w:iCs/>
          <w:szCs w:val="21"/>
          <w:vertAlign w:val="subscript"/>
        </w:rPr>
        <w:t>0</w:t>
      </w:r>
      <w:r>
        <w:rPr>
          <w:szCs w:val="21"/>
        </w:rPr>
        <w:t>——</w:t>
      </w:r>
      <w:r>
        <w:rPr>
          <w:szCs w:val="21"/>
        </w:rPr>
        <w:t>试样的重量，单位为克（</w:t>
      </w:r>
      <w:r>
        <w:rPr>
          <w:szCs w:val="21"/>
        </w:rPr>
        <w:t>g</w:t>
      </w:r>
      <w:r>
        <w:rPr>
          <w:szCs w:val="21"/>
        </w:rPr>
        <w:t>）；</w:t>
      </w:r>
    </w:p>
    <w:p w14:paraId="3931FCB9" w14:textId="09F6A5E2" w:rsidR="00FA0944" w:rsidRDefault="00000000">
      <w:pPr>
        <w:spacing w:line="300" w:lineRule="auto"/>
        <w:ind w:firstLineChars="200" w:firstLine="420"/>
        <w:jc w:val="left"/>
        <w:rPr>
          <w:szCs w:val="21"/>
        </w:rPr>
      </w:pPr>
      <w:r>
        <w:rPr>
          <w:szCs w:val="21"/>
        </w:rPr>
        <w:t>0.1——</w:t>
      </w:r>
      <w:r>
        <w:rPr>
          <w:szCs w:val="21"/>
        </w:rPr>
        <w:t>待测试验溶液体积</w:t>
      </w:r>
      <w:r w:rsidR="002A5003">
        <w:rPr>
          <w:rFonts w:hint="eastAsia"/>
          <w:szCs w:val="21"/>
        </w:rPr>
        <w:t>，单位为升</w:t>
      </w:r>
      <w:r>
        <w:rPr>
          <w:szCs w:val="21"/>
        </w:rPr>
        <w:t>（</w:t>
      </w:r>
      <w:r>
        <w:rPr>
          <w:szCs w:val="21"/>
        </w:rPr>
        <w:t>L</w:t>
      </w:r>
      <w:r>
        <w:rPr>
          <w:szCs w:val="21"/>
        </w:rPr>
        <w:t>）。</w:t>
      </w:r>
    </w:p>
    <w:p w14:paraId="4DB90C77" w14:textId="77777777" w:rsidR="00FA0944" w:rsidRDefault="00000000">
      <w:pPr>
        <w:pStyle w:val="af9"/>
        <w:spacing w:line="300" w:lineRule="auto"/>
        <w:ind w:left="0" w:firstLineChars="200" w:firstLine="420"/>
        <w:rPr>
          <w:rFonts w:ascii="Times New Roman" w:hAnsi="Times New Roman"/>
          <w:szCs w:val="21"/>
        </w:rPr>
      </w:pPr>
      <w:r>
        <w:rPr>
          <w:rFonts w:ascii="Times New Roman" w:hAnsi="Times New Roman"/>
          <w:szCs w:val="21"/>
        </w:rPr>
        <w:t>计算结果保留到小数点后两位。</w:t>
      </w:r>
    </w:p>
    <w:p w14:paraId="4F20011A" w14:textId="77777777" w:rsidR="00FA0944" w:rsidRDefault="00000000">
      <w:pPr>
        <w:pStyle w:val="af9"/>
        <w:spacing w:line="300" w:lineRule="auto"/>
        <w:ind w:left="0" w:firstLineChars="200" w:firstLine="420"/>
        <w:rPr>
          <w:rFonts w:ascii="Times New Roman" w:hAnsi="Times New Roman"/>
          <w:szCs w:val="21"/>
        </w:rPr>
      </w:pPr>
      <w:r>
        <w:rPr>
          <w:rFonts w:ascii="Times New Roman" w:hAnsi="Times New Roman"/>
          <w:szCs w:val="21"/>
        </w:rPr>
        <w:t>在重复性条件下获得的两次独立测试结果的绝对差值不得超过算术平均值的</w:t>
      </w:r>
      <w:r>
        <w:rPr>
          <w:rFonts w:ascii="Times New Roman" w:hAnsi="Times New Roman"/>
          <w:szCs w:val="21"/>
        </w:rPr>
        <w:t>10</w:t>
      </w:r>
      <w:r>
        <w:rPr>
          <w:rFonts w:ascii="Times New Roman" w:hAnsi="Times New Roman"/>
          <w:kern w:val="2"/>
          <w:szCs w:val="24"/>
        </w:rPr>
        <w:t>%</w:t>
      </w:r>
      <w:r>
        <w:rPr>
          <w:rFonts w:ascii="Times New Roman" w:hAnsi="Times New Roman"/>
          <w:kern w:val="2"/>
          <w:szCs w:val="24"/>
        </w:rPr>
        <w:t>。</w:t>
      </w:r>
    </w:p>
    <w:p w14:paraId="19D7346A" w14:textId="77777777" w:rsidR="00FA0944" w:rsidRDefault="00000000">
      <w:pPr>
        <w:pStyle w:val="af9"/>
        <w:spacing w:line="300" w:lineRule="auto"/>
        <w:ind w:left="0" w:firstLineChars="200" w:firstLine="420"/>
        <w:rPr>
          <w:rFonts w:ascii="Times New Roman" w:hAnsi="Times New Roman"/>
          <w:szCs w:val="21"/>
        </w:rPr>
      </w:pPr>
      <w:r>
        <w:rPr>
          <w:rFonts w:ascii="Times New Roman" w:hAnsi="Times New Roman"/>
          <w:noProof/>
          <w:szCs w:val="21"/>
        </w:rPr>
        <mc:AlternateContent>
          <mc:Choice Requires="wps">
            <w:drawing>
              <wp:anchor distT="0" distB="0" distL="0" distR="0" simplePos="0" relativeHeight="10" behindDoc="0" locked="0" layoutInCell="1" allowOverlap="1" wp14:anchorId="3FA38334" wp14:editId="7EED43F8">
                <wp:simplePos x="0" y="0"/>
                <wp:positionH relativeFrom="column">
                  <wp:posOffset>2084070</wp:posOffset>
                </wp:positionH>
                <wp:positionV relativeFrom="paragraph">
                  <wp:posOffset>220345</wp:posOffset>
                </wp:positionV>
                <wp:extent cx="885189" cy="5715"/>
                <wp:effectExtent l="0" t="0" r="29845" b="32385"/>
                <wp:wrapNone/>
                <wp:docPr id="1036"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85189" cy="5715"/>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xmlns:wpsCustomData="http://www.wps.cn/officeDocument/2013/wpsCustomData">
            <w:pict>
              <v:line id="1036" filled="f" stroked="t" from="164.1pt,17.35pt" to="233.79993pt,17.800001pt" style="position:absolute;z-index:10;mso-position-horizontal-relative:text;mso-position-vertical-relative:text;mso-width-relative:page;mso-height-relative:page;mso-wrap-distance-left:0.0pt;mso-wrap-distance-right:0.0pt;visibility:visible;flip:y;">
                <v:stroke joinstyle="miter" weight="0.5pt"/>
                <v:fill/>
              </v:line>
            </w:pict>
          </mc:Fallback>
        </mc:AlternateContent>
      </w:r>
    </w:p>
    <w:sectPr w:rsidR="00FA0944">
      <w:headerReference w:type="even" r:id="rId16"/>
      <w:footerReference w:type="even" r:id="rId17"/>
      <w:footerReference w:type="default" r:id="rId18"/>
      <w:pgSz w:w="11907" w:h="16840"/>
      <w:pgMar w:top="1134" w:right="1418" w:bottom="1134" w:left="1418" w:header="851" w:footer="851"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686DC" w14:textId="77777777" w:rsidR="00E840DC" w:rsidRDefault="00E840DC">
      <w:r>
        <w:separator/>
      </w:r>
    </w:p>
  </w:endnote>
  <w:endnote w:type="continuationSeparator" w:id="0">
    <w:p w14:paraId="35A0EA0A" w14:textId="77777777" w:rsidR="00E840DC" w:rsidRDefault="00E84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FA70E" w14:textId="77777777" w:rsidR="00FA0944" w:rsidRDefault="00000000">
    <w:pPr>
      <w:pStyle w:val="af1"/>
      <w:framePr w:wrap="around" w:vAnchor="text" w:hAnchor="margin" w:xAlign="outside" w:y="1"/>
      <w:rPr>
        <w:rStyle w:val="af6"/>
      </w:rPr>
    </w:pPr>
    <w:r>
      <w:fldChar w:fldCharType="begin"/>
    </w:r>
    <w:r>
      <w:rPr>
        <w:rStyle w:val="af6"/>
      </w:rPr>
      <w:instrText xml:space="preserve">PAGE  </w:instrText>
    </w:r>
    <w:r>
      <w:fldChar w:fldCharType="separate"/>
    </w:r>
    <w:r>
      <w:rPr>
        <w:rStyle w:val="af6"/>
      </w:rPr>
      <w:t>148</w:t>
    </w:r>
    <w:r>
      <w:fldChar w:fldCharType="end"/>
    </w:r>
  </w:p>
  <w:p w14:paraId="5688A62B" w14:textId="77777777" w:rsidR="00FA0944" w:rsidRDefault="00FA0944">
    <w:pPr>
      <w:pStyle w:val="aff9"/>
      <w:ind w:right="360" w:firstLine="360"/>
      <w:rPr>
        <w:rStyle w:val="af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04ED" w14:textId="77777777" w:rsidR="00FA0944" w:rsidRDefault="00000000">
    <w:pPr>
      <w:pStyle w:val="af1"/>
      <w:framePr w:wrap="around" w:vAnchor="text" w:hAnchor="margin" w:xAlign="outside" w:y="1"/>
      <w:rPr>
        <w:rStyle w:val="af6"/>
      </w:rPr>
    </w:pPr>
    <w:r>
      <w:fldChar w:fldCharType="begin"/>
    </w:r>
    <w:r>
      <w:rPr>
        <w:rStyle w:val="af6"/>
      </w:rPr>
      <w:instrText xml:space="preserve">PAGE  </w:instrText>
    </w:r>
    <w:r>
      <w:fldChar w:fldCharType="separate"/>
    </w:r>
    <w:r>
      <w:rPr>
        <w:rStyle w:val="af6"/>
      </w:rPr>
      <w:t>1</w:t>
    </w:r>
    <w:r>
      <w:fldChar w:fldCharType="end"/>
    </w:r>
  </w:p>
  <w:p w14:paraId="735AEF88" w14:textId="77777777" w:rsidR="00FA0944" w:rsidRDefault="00FA0944">
    <w:pPr>
      <w:pStyle w:val="afd"/>
      <w:ind w:right="360" w:firstLine="360"/>
      <w:rPr>
        <w:rStyle w:val="af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91628" w14:textId="77777777" w:rsidR="00FA0944" w:rsidRDefault="00000000">
    <w:pPr>
      <w:pStyle w:val="aff9"/>
      <w:rPr>
        <w:rStyle w:val="af6"/>
      </w:rPr>
    </w:pPr>
    <w:r>
      <w:fldChar w:fldCharType="begin"/>
    </w:r>
    <w:r>
      <w:rPr>
        <w:rStyle w:val="af6"/>
      </w:rPr>
      <w:instrText xml:space="preserve">PAGE  </w:instrText>
    </w:r>
    <w:r>
      <w:fldChar w:fldCharType="separate"/>
    </w:r>
    <w:r>
      <w:rPr>
        <w:rStyle w:val="af6"/>
      </w:rP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03A06" w14:textId="77777777" w:rsidR="00FA0944" w:rsidRDefault="00000000">
    <w:pPr>
      <w:pStyle w:val="afd"/>
      <w:rPr>
        <w:rStyle w:val="af6"/>
      </w:rPr>
    </w:pPr>
    <w:r>
      <w:fldChar w:fldCharType="begin"/>
    </w:r>
    <w:r>
      <w:rPr>
        <w:rStyle w:val="af6"/>
      </w:rPr>
      <w:instrText xml:space="preserve">PAGE  </w:instrText>
    </w:r>
    <w:r>
      <w:fldChar w:fldCharType="separate"/>
    </w:r>
    <w:r>
      <w:rPr>
        <w:rStyle w:val="af6"/>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B37F7" w14:textId="77777777" w:rsidR="00FA0944" w:rsidRDefault="00000000">
    <w:pPr>
      <w:pStyle w:val="aff9"/>
      <w:rPr>
        <w:rStyle w:val="af6"/>
      </w:rPr>
    </w:pPr>
    <w:r>
      <w:fldChar w:fldCharType="begin"/>
    </w:r>
    <w:r>
      <w:rPr>
        <w:rStyle w:val="af6"/>
      </w:rPr>
      <w:instrText xml:space="preserve">PAGE  </w:instrText>
    </w:r>
    <w:r>
      <w:fldChar w:fldCharType="separate"/>
    </w:r>
    <w:r>
      <w:rPr>
        <w:rStyle w:val="af6"/>
      </w:rPr>
      <w:t>10</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CD6E" w14:textId="77777777" w:rsidR="00FA0944" w:rsidRDefault="00000000">
    <w:pPr>
      <w:pStyle w:val="afd"/>
      <w:rPr>
        <w:rStyle w:val="af6"/>
      </w:rPr>
    </w:pPr>
    <w:r>
      <w:fldChar w:fldCharType="begin"/>
    </w:r>
    <w:r>
      <w:rPr>
        <w:rStyle w:val="af6"/>
      </w:rPr>
      <w:instrText xml:space="preserve">PAGE  </w:instrText>
    </w:r>
    <w:r>
      <w:fldChar w:fldCharType="separate"/>
    </w:r>
    <w:r>
      <w:rPr>
        <w:rStyle w:val="af6"/>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F640C" w14:textId="77777777" w:rsidR="00E840DC" w:rsidRDefault="00E840DC">
      <w:r>
        <w:separator/>
      </w:r>
    </w:p>
  </w:footnote>
  <w:footnote w:type="continuationSeparator" w:id="0">
    <w:p w14:paraId="0110696C" w14:textId="77777777" w:rsidR="00E840DC" w:rsidRDefault="00E84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3722" w14:textId="77777777" w:rsidR="00FA0944" w:rsidRDefault="00000000">
    <w:pPr>
      <w:pStyle w:val="aff2"/>
      <w:rPr>
        <w:rFonts w:hint="eastAsia"/>
      </w:rPr>
    </w:pPr>
    <w:r>
      <w:t>QB/T3748-99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CB4F0" w14:textId="77777777" w:rsidR="00FA0944" w:rsidRDefault="00000000">
    <w:pPr>
      <w:pStyle w:val="aff5"/>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CB3C3" w14:textId="77777777" w:rsidR="00FA0944" w:rsidRDefault="00000000">
    <w:pPr>
      <w:pStyle w:val="aff2"/>
      <w:rPr>
        <w:rFonts w:hint="eastAsia"/>
      </w:rPr>
    </w:pPr>
    <w:r>
      <w:t>QB/T</w:t>
    </w:r>
    <w:r>
      <w:rPr>
        <w:rFonts w:hint="eastAsia"/>
      </w:rPr>
      <w:t xml:space="preserve"> </w:t>
    </w:r>
    <w:r>
      <w:t>3748</w:t>
    </w:r>
    <w:r>
      <w:rPr>
        <w:rFonts w:hint="eastAsia"/>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DC933" w14:textId="77777777" w:rsidR="00FA0944" w:rsidRDefault="00000000">
    <w:pPr>
      <w:pStyle w:val="aff3"/>
    </w:pPr>
    <w:r>
      <w:t>QB/T</w:t>
    </w:r>
    <w:r>
      <w:rPr>
        <w:rFonts w:hint="eastAsia"/>
      </w:rPr>
      <w:t xml:space="preserve"> </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21DC2" w14:textId="77777777" w:rsidR="00FA0944" w:rsidRDefault="00000000">
    <w:pPr>
      <w:pStyle w:val="aff2"/>
      <w:rPr>
        <w:rFonts w:hint="eastAsia"/>
      </w:rPr>
    </w:pPr>
    <w:r>
      <w:t>QB/T</w:t>
    </w: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93C6778"/>
    <w:lvl w:ilvl="0">
      <w:start w:val="1"/>
      <w:numFmt w:val="decimal"/>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pStyle w:val="a"/>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00000002"/>
    <w:multiLevelType w:val="multilevel"/>
    <w:tmpl w:val="0A0475F3"/>
    <w:lvl w:ilvl="0">
      <w:start w:val="1"/>
      <w:numFmt w:val="upperRoman"/>
      <w:pStyle w:val="1"/>
      <w:lvlText w:val="%1."/>
      <w:lvlJc w:val="left"/>
      <w:pPr>
        <w:tabs>
          <w:tab w:val="left" w:pos="425"/>
        </w:tabs>
        <w:ind w:left="0" w:firstLine="0"/>
      </w:pPr>
    </w:lvl>
    <w:lvl w:ilvl="1">
      <w:start w:val="1"/>
      <w:numFmt w:val="upperLetter"/>
      <w:pStyle w:val="2"/>
      <w:lvlText w:val="%2."/>
      <w:lvlJc w:val="left"/>
      <w:pPr>
        <w:tabs>
          <w:tab w:val="left" w:pos="1276"/>
        </w:tabs>
        <w:ind w:left="851" w:firstLine="0"/>
      </w:pPr>
    </w:lvl>
    <w:lvl w:ilvl="2">
      <w:start w:val="1"/>
      <w:numFmt w:val="decimal"/>
      <w:pStyle w:val="3"/>
      <w:lvlText w:val="%3."/>
      <w:lvlJc w:val="left"/>
      <w:pPr>
        <w:tabs>
          <w:tab w:val="left" w:pos="2126"/>
        </w:tabs>
        <w:ind w:left="1701" w:firstLine="0"/>
      </w:pPr>
    </w:lvl>
    <w:lvl w:ilvl="3">
      <w:start w:val="1"/>
      <w:numFmt w:val="lowerLetter"/>
      <w:pStyle w:val="4"/>
      <w:lvlText w:val="%4)"/>
      <w:lvlJc w:val="left"/>
      <w:pPr>
        <w:tabs>
          <w:tab w:val="left" w:pos="2976"/>
        </w:tabs>
        <w:ind w:left="2551" w:firstLine="0"/>
      </w:pPr>
    </w:lvl>
    <w:lvl w:ilvl="4">
      <w:start w:val="1"/>
      <w:numFmt w:val="decimal"/>
      <w:pStyle w:val="5"/>
      <w:lvlText w:val="(%5)"/>
      <w:lvlJc w:val="left"/>
      <w:pPr>
        <w:tabs>
          <w:tab w:val="left" w:pos="3827"/>
        </w:tabs>
        <w:ind w:left="3402" w:firstLine="0"/>
      </w:pPr>
    </w:lvl>
    <w:lvl w:ilvl="5">
      <w:start w:val="1"/>
      <w:numFmt w:val="lowerLetter"/>
      <w:pStyle w:val="6"/>
      <w:lvlText w:val="(%6)"/>
      <w:lvlJc w:val="left"/>
      <w:pPr>
        <w:tabs>
          <w:tab w:val="left" w:pos="4677"/>
        </w:tabs>
        <w:ind w:left="4252" w:firstLine="0"/>
      </w:pPr>
    </w:lvl>
    <w:lvl w:ilvl="6">
      <w:start w:val="1"/>
      <w:numFmt w:val="lowerRoman"/>
      <w:pStyle w:val="7"/>
      <w:lvlText w:val="(%7)"/>
      <w:lvlJc w:val="left"/>
      <w:pPr>
        <w:tabs>
          <w:tab w:val="left" w:pos="5528"/>
        </w:tabs>
        <w:ind w:left="5102" w:firstLine="0"/>
      </w:pPr>
    </w:lvl>
    <w:lvl w:ilvl="7">
      <w:start w:val="1"/>
      <w:numFmt w:val="lowerLetter"/>
      <w:pStyle w:val="8"/>
      <w:lvlText w:val="(%8)"/>
      <w:lvlJc w:val="left"/>
      <w:pPr>
        <w:tabs>
          <w:tab w:val="left" w:pos="6378"/>
        </w:tabs>
        <w:ind w:left="5953" w:firstLine="0"/>
      </w:pPr>
    </w:lvl>
    <w:lvl w:ilvl="8">
      <w:start w:val="1"/>
      <w:numFmt w:val="lowerRoman"/>
      <w:pStyle w:val="9"/>
      <w:lvlText w:val="(%9)"/>
      <w:lvlJc w:val="left"/>
      <w:pPr>
        <w:tabs>
          <w:tab w:val="left" w:pos="7228"/>
        </w:tabs>
        <w:ind w:left="6803" w:firstLine="0"/>
      </w:pPr>
    </w:lvl>
  </w:abstractNum>
  <w:abstractNum w:abstractNumId="2" w15:restartNumberingAfterBreak="0">
    <w:nsid w:val="0000000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outline w:val="0"/>
        <w:emboss w:val="0"/>
        <w:imprint w:val="0"/>
        <w:vanish w:val="0"/>
        <w:spacing w:val="0"/>
        <w:kern w:val="0"/>
        <w:position w:val="0"/>
        <w:sz w:val="21"/>
        <w:szCs w:val="21"/>
        <w:u w:val="none"/>
        <w:vertAlign w:val="baseline"/>
        <w14:shadow w14:blurRad="0" w14:dist="0" w14:dir="0" w14:sx="100000" w14:sy="100000" w14:kx="0" w14:ky="0" w14:algn="none">
          <w14:srgbClr w14:val="80808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00000004"/>
    <w:multiLevelType w:val="multilevel"/>
    <w:tmpl w:val="45367145"/>
    <w:lvl w:ilvl="0">
      <w:start w:val="1"/>
      <w:numFmt w:val="decimal"/>
      <w:pStyle w:val="a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00000005"/>
    <w:multiLevelType w:val="multilevel"/>
    <w:tmpl w:val="496E4D7B"/>
    <w:lvl w:ilvl="0">
      <w:start w:val="1"/>
      <w:numFmt w:val="none"/>
      <w:pStyle w:val="a1"/>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0000006"/>
    <w:multiLevelType w:val="multilevel"/>
    <w:tmpl w:val="646260FA"/>
    <w:lvl w:ilvl="0">
      <w:start w:val="1"/>
      <w:numFmt w:val="decimal"/>
      <w:pStyle w:val="a2"/>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15:restartNumberingAfterBreak="0">
    <w:nsid w:val="00000007"/>
    <w:multiLevelType w:val="multilevel"/>
    <w:tmpl w:val="657D3FBC"/>
    <w:lvl w:ilvl="0">
      <w:start w:val="1"/>
      <w:numFmt w:val="upperLetter"/>
      <w:pStyle w:val="a3"/>
      <w:suff w:val="nothing"/>
      <w:lvlText w:val="附　录　%1"/>
      <w:lvlJc w:val="left"/>
      <w:pPr>
        <w:ind w:left="0" w:firstLine="0"/>
      </w:pPr>
      <w:rPr>
        <w:rFonts w:ascii="黑体" w:eastAsia="黑体" w:hAnsi="Times New Roman" w:hint="eastAsia"/>
        <w:b w:val="0"/>
        <w:i w:val="0"/>
        <w:sz w:val="21"/>
      </w:rPr>
    </w:lvl>
    <w:lvl w:ilvl="1">
      <w:start w:val="1"/>
      <w:numFmt w:val="decimal"/>
      <w:pStyle w:val="a4"/>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15:restartNumberingAfterBreak="0">
    <w:nsid w:val="00000008"/>
    <w:multiLevelType w:val="multilevel"/>
    <w:tmpl w:val="6CEA2025"/>
    <w:lvl w:ilvl="0">
      <w:start w:val="1"/>
      <w:numFmt w:val="none"/>
      <w:pStyle w:val="a6"/>
      <w:suff w:val="nothing"/>
      <w:lvlText w:val="%1"/>
      <w:lvlJc w:val="left"/>
      <w:pPr>
        <w:ind w:left="0" w:firstLine="0"/>
      </w:pPr>
      <w:rPr>
        <w:rFonts w:ascii="Times New Roman" w:hAnsi="Times New Roman" w:hint="default"/>
        <w:b/>
        <w:i w:val="0"/>
        <w:sz w:val="21"/>
      </w:rPr>
    </w:lvl>
    <w:lvl w:ilvl="1">
      <w:start w:val="1"/>
      <w:numFmt w:val="decimal"/>
      <w:pStyle w:val="a7"/>
      <w:suff w:val="nothing"/>
      <w:lvlText w:val="%1%2　"/>
      <w:lvlJc w:val="left"/>
      <w:pPr>
        <w:ind w:left="63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00000009"/>
    <w:multiLevelType w:val="multilevel"/>
    <w:tmpl w:val="6DBF04F4"/>
    <w:lvl w:ilvl="0">
      <w:start w:val="1"/>
      <w:numFmt w:val="none"/>
      <w:pStyle w:val="a8"/>
      <w:lvlText w:val="%1注1："/>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000000A"/>
    <w:multiLevelType w:val="singleLevel"/>
    <w:tmpl w:val="7B607692"/>
    <w:lvl w:ilvl="0">
      <w:start w:val="1"/>
      <w:numFmt w:val="decimal"/>
      <w:lvlText w:val="%1)"/>
      <w:lvlJc w:val="left"/>
      <w:pPr>
        <w:ind w:left="425" w:hanging="425"/>
      </w:pPr>
      <w:rPr>
        <w:rFonts w:hint="default"/>
      </w:rPr>
    </w:lvl>
  </w:abstractNum>
  <w:abstractNum w:abstractNumId="10" w15:restartNumberingAfterBreak="0">
    <w:nsid w:val="1DB25E9D"/>
    <w:multiLevelType w:val="singleLevel"/>
    <w:tmpl w:val="8479FD78"/>
    <w:lvl w:ilvl="0">
      <w:start w:val="1"/>
      <w:numFmt w:val="decimal"/>
      <w:lvlText w:val="%1)"/>
      <w:lvlJc w:val="left"/>
      <w:pPr>
        <w:ind w:left="425" w:hanging="425"/>
      </w:pPr>
      <w:rPr>
        <w:rFonts w:hint="default"/>
      </w:rPr>
    </w:lvl>
  </w:abstractNum>
  <w:abstractNum w:abstractNumId="11" w15:restartNumberingAfterBreak="0">
    <w:nsid w:val="74757726"/>
    <w:multiLevelType w:val="hybridMultilevel"/>
    <w:tmpl w:val="83908FDA"/>
    <w:lvl w:ilvl="0" w:tplc="0409000F">
      <w:start w:val="1"/>
      <w:numFmt w:val="decimal"/>
      <w:lvlText w:val="%1."/>
      <w:lvlJc w:val="left"/>
      <w:pPr>
        <w:ind w:left="1007" w:hanging="440"/>
      </w:p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num w:numId="1" w16cid:durableId="770705634">
    <w:abstractNumId w:val="1"/>
  </w:num>
  <w:num w:numId="2" w16cid:durableId="1997876742">
    <w:abstractNumId w:val="7"/>
  </w:num>
  <w:num w:numId="3" w16cid:durableId="1990010983">
    <w:abstractNumId w:val="6"/>
  </w:num>
  <w:num w:numId="4" w16cid:durableId="133253462">
    <w:abstractNumId w:val="8"/>
  </w:num>
  <w:num w:numId="5" w16cid:durableId="132724140">
    <w:abstractNumId w:val="4"/>
  </w:num>
  <w:num w:numId="6" w16cid:durableId="304050574">
    <w:abstractNumId w:val="0"/>
  </w:num>
  <w:num w:numId="7" w16cid:durableId="619653476">
    <w:abstractNumId w:val="3"/>
  </w:num>
  <w:num w:numId="8" w16cid:durableId="1226918317">
    <w:abstractNumId w:val="5"/>
  </w:num>
  <w:num w:numId="9" w16cid:durableId="1397244730">
    <w:abstractNumId w:val="2"/>
  </w:num>
  <w:num w:numId="10" w16cid:durableId="28993371">
    <w:abstractNumId w:val="10"/>
  </w:num>
  <w:num w:numId="11" w16cid:durableId="1965889625">
    <w:abstractNumId w:val="9"/>
  </w:num>
  <w:num w:numId="12" w16cid:durableId="15855323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944"/>
    <w:rsid w:val="0000693F"/>
    <w:rsid w:val="000670E1"/>
    <w:rsid w:val="000D57F5"/>
    <w:rsid w:val="000F75FA"/>
    <w:rsid w:val="00145694"/>
    <w:rsid w:val="002842FE"/>
    <w:rsid w:val="002949D8"/>
    <w:rsid w:val="002A5003"/>
    <w:rsid w:val="003032FE"/>
    <w:rsid w:val="00321AC5"/>
    <w:rsid w:val="00371517"/>
    <w:rsid w:val="00376A5F"/>
    <w:rsid w:val="005A6224"/>
    <w:rsid w:val="005E3ABB"/>
    <w:rsid w:val="007828DF"/>
    <w:rsid w:val="00865942"/>
    <w:rsid w:val="00C355DD"/>
    <w:rsid w:val="00DA1874"/>
    <w:rsid w:val="00E721CF"/>
    <w:rsid w:val="00E840DC"/>
    <w:rsid w:val="00FA0944"/>
    <w:rsid w:val="00FB1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D31BC"/>
  <w15:docId w15:val="{7B4363F4-9D92-4D99-81AD-D2679066A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pPr>
      <w:widowControl w:val="0"/>
      <w:jc w:val="both"/>
    </w:pPr>
    <w:rPr>
      <w:kern w:val="2"/>
      <w:sz w:val="21"/>
      <w:szCs w:val="24"/>
    </w:rPr>
  </w:style>
  <w:style w:type="paragraph" w:styleId="1">
    <w:name w:val="heading 1"/>
    <w:basedOn w:val="a9"/>
    <w:next w:val="aa"/>
    <w:uiPriority w:val="9"/>
    <w:qFormat/>
    <w:pPr>
      <w:keepNext/>
      <w:keepLines/>
      <w:numPr>
        <w:numId w:val="1"/>
      </w:numPr>
      <w:spacing w:before="340" w:after="330" w:line="578" w:lineRule="auto"/>
      <w:outlineLvl w:val="0"/>
    </w:pPr>
    <w:rPr>
      <w:b/>
      <w:bCs/>
      <w:kern w:val="44"/>
      <w:sz w:val="44"/>
      <w:szCs w:val="44"/>
    </w:rPr>
  </w:style>
  <w:style w:type="paragraph" w:styleId="2">
    <w:name w:val="heading 2"/>
    <w:basedOn w:val="a9"/>
    <w:next w:val="aa"/>
    <w:uiPriority w:val="9"/>
    <w:semiHidden/>
    <w:unhideWhenUsed/>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9"/>
    <w:next w:val="aa"/>
    <w:uiPriority w:val="9"/>
    <w:semiHidden/>
    <w:unhideWhenUsed/>
    <w:qFormat/>
    <w:pPr>
      <w:keepNext/>
      <w:keepLines/>
      <w:numPr>
        <w:ilvl w:val="2"/>
        <w:numId w:val="1"/>
      </w:numPr>
      <w:spacing w:before="260" w:after="260" w:line="416" w:lineRule="auto"/>
      <w:outlineLvl w:val="2"/>
    </w:pPr>
    <w:rPr>
      <w:b/>
      <w:bCs/>
      <w:sz w:val="32"/>
      <w:szCs w:val="32"/>
    </w:rPr>
  </w:style>
  <w:style w:type="paragraph" w:styleId="4">
    <w:name w:val="heading 4"/>
    <w:basedOn w:val="a9"/>
    <w:next w:val="aa"/>
    <w:uiPriority w:val="9"/>
    <w:semiHidden/>
    <w:unhideWhenUsed/>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9"/>
    <w:next w:val="a9"/>
    <w:uiPriority w:val="9"/>
    <w:semiHidden/>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9"/>
    <w:next w:val="a9"/>
    <w:uiPriority w:val="9"/>
    <w:semiHidden/>
    <w:unhideWhenUsed/>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9"/>
    <w:next w:val="a9"/>
    <w:qFormat/>
    <w:pPr>
      <w:keepNext/>
      <w:keepLines/>
      <w:numPr>
        <w:ilvl w:val="6"/>
        <w:numId w:val="1"/>
      </w:numPr>
      <w:spacing w:before="240" w:after="64" w:line="320" w:lineRule="auto"/>
      <w:outlineLvl w:val="6"/>
    </w:pPr>
    <w:rPr>
      <w:b/>
      <w:bCs/>
      <w:sz w:val="24"/>
    </w:rPr>
  </w:style>
  <w:style w:type="paragraph" w:styleId="8">
    <w:name w:val="heading 8"/>
    <w:basedOn w:val="a9"/>
    <w:next w:val="a9"/>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9"/>
    <w:next w:val="a9"/>
    <w:qFormat/>
    <w:pPr>
      <w:keepNext/>
      <w:keepLines/>
      <w:numPr>
        <w:ilvl w:val="8"/>
        <w:numId w:val="1"/>
      </w:numPr>
      <w:spacing w:before="240" w:after="64" w:line="320" w:lineRule="auto"/>
      <w:outlineLvl w:val="8"/>
    </w:pPr>
    <w:rPr>
      <w:rFonts w:ascii="Arial" w:eastAsia="黑体" w:hAnsi="Arial"/>
      <w:szCs w:val="21"/>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a">
    <w:name w:val="Normal Indent"/>
    <w:basedOn w:val="a9"/>
    <w:qFormat/>
    <w:pPr>
      <w:ind w:firstLineChars="200" w:firstLine="420"/>
    </w:pPr>
  </w:style>
  <w:style w:type="paragraph" w:styleId="ae">
    <w:name w:val="annotation text"/>
    <w:basedOn w:val="a9"/>
    <w:qFormat/>
    <w:pPr>
      <w:jc w:val="left"/>
    </w:pPr>
  </w:style>
  <w:style w:type="paragraph" w:styleId="af">
    <w:name w:val="Body Text Indent"/>
    <w:basedOn w:val="a9"/>
    <w:qFormat/>
    <w:pPr>
      <w:ind w:firstLineChars="200" w:firstLine="560"/>
    </w:pPr>
    <w:rPr>
      <w:sz w:val="28"/>
    </w:rPr>
  </w:style>
  <w:style w:type="paragraph" w:styleId="af0">
    <w:name w:val="Balloon Text"/>
    <w:basedOn w:val="a9"/>
    <w:qFormat/>
    <w:rPr>
      <w:sz w:val="18"/>
      <w:szCs w:val="18"/>
    </w:rPr>
  </w:style>
  <w:style w:type="paragraph" w:styleId="af1">
    <w:name w:val="footer"/>
    <w:basedOn w:val="a9"/>
    <w:qFormat/>
    <w:pPr>
      <w:tabs>
        <w:tab w:val="center" w:pos="4153"/>
        <w:tab w:val="right" w:pos="8306"/>
      </w:tabs>
      <w:snapToGrid w:val="0"/>
      <w:jc w:val="left"/>
    </w:pPr>
    <w:rPr>
      <w:spacing w:val="16"/>
      <w:sz w:val="18"/>
      <w:szCs w:val="18"/>
    </w:rPr>
  </w:style>
  <w:style w:type="paragraph" w:styleId="af2">
    <w:name w:val="header"/>
    <w:basedOn w:val="a9"/>
    <w:qFormat/>
    <w:pPr>
      <w:tabs>
        <w:tab w:val="center" w:pos="4153"/>
        <w:tab w:val="right" w:pos="8306"/>
      </w:tabs>
      <w:wordWrap w:val="0"/>
      <w:snapToGrid w:val="0"/>
      <w:ind w:right="-5" w:firstLineChars="223" w:firstLine="540"/>
      <w:jc w:val="right"/>
    </w:pPr>
    <w:rPr>
      <w:spacing w:val="16"/>
      <w:szCs w:val="21"/>
      <w:lang w:val="fr-FR"/>
    </w:rPr>
  </w:style>
  <w:style w:type="paragraph" w:styleId="af3">
    <w:name w:val="Title"/>
    <w:basedOn w:val="a9"/>
    <w:next w:val="aa"/>
    <w:uiPriority w:val="10"/>
    <w:qFormat/>
    <w:pPr>
      <w:spacing w:before="240" w:after="60"/>
      <w:jc w:val="center"/>
    </w:pPr>
    <w:rPr>
      <w:rFonts w:ascii="Arial" w:hAnsi="Arial" w:cs="Arial"/>
      <w:b/>
      <w:bCs/>
      <w:sz w:val="32"/>
      <w:szCs w:val="32"/>
    </w:rPr>
  </w:style>
  <w:style w:type="paragraph" w:styleId="af4">
    <w:name w:val="annotation subject"/>
    <w:basedOn w:val="ae"/>
    <w:next w:val="ae"/>
    <w:qFormat/>
    <w:rPr>
      <w:b/>
      <w:bCs/>
    </w:rPr>
  </w:style>
  <w:style w:type="table" w:styleId="af5">
    <w:name w:val="Table Grid"/>
    <w:basedOn w:val="ac"/>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b"/>
    <w:qFormat/>
  </w:style>
  <w:style w:type="character" w:styleId="af7">
    <w:name w:val="annotation reference"/>
    <w:qFormat/>
    <w:rPr>
      <w:sz w:val="21"/>
      <w:szCs w:val="21"/>
    </w:rPr>
  </w:style>
  <w:style w:type="character" w:customStyle="1" w:styleId="af8">
    <w:name w:val="发布"/>
    <w:qFormat/>
    <w:rPr>
      <w:rFonts w:ascii="黑体" w:eastAsia="黑体"/>
      <w:spacing w:val="22"/>
      <w:w w:val="100"/>
      <w:position w:val="3"/>
      <w:sz w:val="28"/>
    </w:rPr>
  </w:style>
  <w:style w:type="character" w:customStyle="1" w:styleId="Char">
    <w:name w:val="一级条标题 Char"/>
    <w:qFormat/>
    <w:rPr>
      <w:rFonts w:ascii="黑体" w:eastAsia="黑体"/>
      <w:sz w:val="21"/>
      <w:lang w:val="en-US" w:eastAsia="zh-CN" w:bidi="ar-SA"/>
    </w:rPr>
  </w:style>
  <w:style w:type="character" w:customStyle="1" w:styleId="Char0">
    <w:name w:val="段 Char"/>
    <w:link w:val="af9"/>
    <w:qFormat/>
    <w:rPr>
      <w:rFonts w:ascii="宋体" w:eastAsia="宋体" w:hAnsi="宋体"/>
      <w:sz w:val="21"/>
      <w:lang w:val="en-US" w:eastAsia="zh-CN" w:bidi="ar-SA"/>
    </w:rPr>
  </w:style>
  <w:style w:type="paragraph" w:customStyle="1" w:styleId="af9">
    <w:name w:val="段"/>
    <w:link w:val="Char0"/>
    <w:qFormat/>
    <w:pPr>
      <w:autoSpaceDE w:val="0"/>
      <w:autoSpaceDN w:val="0"/>
      <w:spacing w:line="360" w:lineRule="exact"/>
      <w:ind w:left="420"/>
      <w:jc w:val="both"/>
    </w:pPr>
    <w:rPr>
      <w:rFonts w:ascii="宋体" w:hAnsi="宋体"/>
      <w:sz w:val="21"/>
    </w:rPr>
  </w:style>
  <w:style w:type="paragraph" w:customStyle="1" w:styleId="afa">
    <w:name w:val="封面标准代替信息"/>
    <w:basedOn w:val="20"/>
    <w:qFormat/>
    <w:pPr>
      <w:framePr w:wrap="around"/>
      <w:spacing w:before="57"/>
    </w:pPr>
    <w:rPr>
      <w:rFonts w:ascii="宋体"/>
      <w:sz w:val="21"/>
    </w:rPr>
  </w:style>
  <w:style w:type="paragraph" w:customStyle="1" w:styleId="20">
    <w:name w:val="封面标准号2"/>
    <w:basedOn w:val="a9"/>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b">
    <w:name w:val="二级条标题"/>
    <w:basedOn w:val="afc"/>
    <w:next w:val="af9"/>
    <w:qFormat/>
    <w:pPr>
      <w:numPr>
        <w:ilvl w:val="3"/>
      </w:numPr>
      <w:outlineLvl w:val="3"/>
    </w:pPr>
  </w:style>
  <w:style w:type="paragraph" w:customStyle="1" w:styleId="afc">
    <w:name w:val="一级条标题"/>
    <w:basedOn w:val="a7"/>
    <w:next w:val="af9"/>
    <w:qFormat/>
    <w:pPr>
      <w:numPr>
        <w:ilvl w:val="0"/>
        <w:numId w:val="0"/>
      </w:numPr>
      <w:spacing w:before="0" w:after="0"/>
      <w:outlineLvl w:val="2"/>
    </w:pPr>
  </w:style>
  <w:style w:type="paragraph" w:customStyle="1" w:styleId="a7">
    <w:name w:val="章标题"/>
    <w:next w:val="af9"/>
    <w:link w:val="Char1"/>
    <w:qFormat/>
    <w:pPr>
      <w:numPr>
        <w:ilvl w:val="1"/>
        <w:numId w:val="2"/>
      </w:numPr>
      <w:spacing w:beforeLines="50" w:before="50" w:afterLines="50" w:after="50"/>
      <w:jc w:val="both"/>
      <w:outlineLvl w:val="1"/>
    </w:pPr>
    <w:rPr>
      <w:rFonts w:ascii="黑体" w:eastAsia="黑体"/>
      <w:sz w:val="21"/>
    </w:rPr>
  </w:style>
  <w:style w:type="paragraph" w:customStyle="1" w:styleId="afd">
    <w:name w:val="标准书脚_奇数页"/>
    <w:qFormat/>
    <w:pPr>
      <w:spacing w:before="120"/>
      <w:jc w:val="right"/>
    </w:pPr>
    <w:rPr>
      <w:sz w:val="18"/>
    </w:rPr>
  </w:style>
  <w:style w:type="paragraph" w:customStyle="1" w:styleId="afe">
    <w:name w:val="附录五级条标题"/>
    <w:basedOn w:val="aff"/>
    <w:next w:val="af9"/>
    <w:qFormat/>
    <w:pPr>
      <w:numPr>
        <w:ilvl w:val="6"/>
      </w:numPr>
      <w:outlineLvl w:val="6"/>
    </w:pPr>
  </w:style>
  <w:style w:type="paragraph" w:customStyle="1" w:styleId="aff">
    <w:name w:val="附录四级条标题"/>
    <w:basedOn w:val="aff0"/>
    <w:next w:val="af9"/>
    <w:qFormat/>
    <w:pPr>
      <w:numPr>
        <w:ilvl w:val="5"/>
      </w:numPr>
      <w:outlineLvl w:val="5"/>
    </w:pPr>
  </w:style>
  <w:style w:type="paragraph" w:customStyle="1" w:styleId="aff0">
    <w:name w:val="附录三级条标题"/>
    <w:basedOn w:val="a5"/>
    <w:next w:val="af9"/>
    <w:qFormat/>
    <w:pPr>
      <w:numPr>
        <w:ilvl w:val="4"/>
        <w:numId w:val="0"/>
      </w:numPr>
      <w:outlineLvl w:val="4"/>
    </w:pPr>
  </w:style>
  <w:style w:type="paragraph" w:customStyle="1" w:styleId="a5">
    <w:name w:val="附录二级条标题"/>
    <w:basedOn w:val="a9"/>
    <w:next w:val="af9"/>
    <w:qFormat/>
    <w:pPr>
      <w:widowControl/>
      <w:numPr>
        <w:ilvl w:val="3"/>
        <w:numId w:val="3"/>
      </w:numPr>
      <w:wordWrap w:val="0"/>
      <w:overflowPunct w:val="0"/>
      <w:autoSpaceDE w:val="0"/>
      <w:autoSpaceDN w:val="0"/>
      <w:textAlignment w:val="baseline"/>
      <w:outlineLvl w:val="3"/>
    </w:pPr>
    <w:rPr>
      <w:rFonts w:ascii="黑体" w:eastAsia="黑体"/>
      <w:kern w:val="21"/>
      <w:szCs w:val="20"/>
    </w:rPr>
  </w:style>
  <w:style w:type="paragraph" w:customStyle="1" w:styleId="a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4">
    <w:name w:val="附录章标题"/>
    <w:next w:val="af9"/>
    <w:qFormat/>
    <w:pPr>
      <w:numPr>
        <w:ilvl w:val="1"/>
        <w:numId w:val="3"/>
      </w:numPr>
      <w:wordWrap w:val="0"/>
      <w:overflowPunct w:val="0"/>
      <w:autoSpaceDE w:val="0"/>
      <w:spacing w:beforeLines="50" w:before="120" w:afterLines="50" w:after="120"/>
      <w:jc w:val="both"/>
      <w:textAlignment w:val="baseline"/>
      <w:outlineLvl w:val="1"/>
    </w:pPr>
    <w:rPr>
      <w:rFonts w:ascii="黑体" w:eastAsia="黑体"/>
      <w:kern w:val="21"/>
      <w:sz w:val="21"/>
    </w:rPr>
  </w:style>
  <w:style w:type="paragraph" w:customStyle="1" w:styleId="aff2">
    <w:name w:val="标准书眉_偶数页"/>
    <w:basedOn w:val="aff3"/>
    <w:next w:val="a9"/>
    <w:qFormat/>
    <w:pPr>
      <w:jc w:val="left"/>
    </w:pPr>
    <w:rPr>
      <w:rFonts w:ascii="宋体" w:hAnsi="宋体"/>
    </w:rPr>
  </w:style>
  <w:style w:type="paragraph" w:customStyle="1" w:styleId="aff3">
    <w:name w:val="标准书眉_奇数页"/>
    <w:next w:val="a9"/>
    <w:qFormat/>
    <w:pPr>
      <w:tabs>
        <w:tab w:val="center" w:pos="4154"/>
        <w:tab w:val="right" w:pos="8306"/>
      </w:tabs>
      <w:spacing w:after="120"/>
      <w:jc w:val="right"/>
    </w:pPr>
    <w:rPr>
      <w:sz w:val="21"/>
    </w:rPr>
  </w:style>
  <w:style w:type="paragraph" w:customStyle="1" w:styleId="a6">
    <w:name w:val="前言、引言标题"/>
    <w:next w:val="a9"/>
    <w:qFormat/>
    <w:pPr>
      <w:numPr>
        <w:numId w:val="2"/>
      </w:numPr>
      <w:shd w:val="clear" w:color="FFFFFF" w:fill="FFFFFF"/>
      <w:tabs>
        <w:tab w:val="left" w:pos="360"/>
      </w:tabs>
      <w:spacing w:before="640" w:after="560"/>
      <w:jc w:val="center"/>
      <w:outlineLvl w:val="0"/>
    </w:pPr>
    <w:rPr>
      <w:rFonts w:ascii="黑体" w:eastAsia="黑体"/>
      <w:sz w:val="32"/>
    </w:rPr>
  </w:style>
  <w:style w:type="paragraph" w:customStyle="1" w:styleId="aff4">
    <w:name w:val="封面正文"/>
    <w:qFormat/>
    <w:pPr>
      <w:jc w:val="both"/>
    </w:pPr>
  </w:style>
  <w:style w:type="paragraph" w:customStyle="1" w:styleId="aff5">
    <w:name w:val="标准书眉一"/>
    <w:qFormat/>
    <w:pPr>
      <w:jc w:val="both"/>
    </w:pPr>
  </w:style>
  <w:style w:type="paragraph" w:customStyle="1" w:styleId="aff6">
    <w:name w:val="其他标准称谓"/>
    <w:qFormat/>
    <w:pPr>
      <w:spacing w:line="0" w:lineRule="atLeast"/>
      <w:jc w:val="distribute"/>
    </w:pPr>
    <w:rPr>
      <w:rFonts w:ascii="黑体" w:eastAsia="黑体" w:hAnsi="宋体"/>
      <w:sz w:val="52"/>
    </w:rPr>
  </w:style>
  <w:style w:type="paragraph" w:customStyle="1" w:styleId="aff7">
    <w:name w:val="发布日期"/>
    <w:qFormat/>
    <w:pPr>
      <w:framePr w:w="4000" w:h="473" w:hRule="exact" w:hSpace="180" w:vSpace="180" w:wrap="around" w:hAnchor="margin" w:y="13511" w:anchorLock="1"/>
    </w:pPr>
    <w:rPr>
      <w:rFonts w:eastAsia="黑体"/>
      <w:sz w:val="28"/>
    </w:rPr>
  </w:style>
  <w:style w:type="paragraph" w:customStyle="1" w:styleId="aff8">
    <w:name w:val="封面标准英文名称"/>
    <w:qFormat/>
    <w:pPr>
      <w:widowControl w:val="0"/>
      <w:spacing w:before="370" w:line="400" w:lineRule="exact"/>
      <w:jc w:val="center"/>
    </w:pPr>
    <w:rPr>
      <w:sz w:val="28"/>
    </w:rPr>
  </w:style>
  <w:style w:type="paragraph" w:customStyle="1" w:styleId="aff9">
    <w:name w:val="标准书脚_偶数页"/>
    <w:qFormat/>
    <w:pPr>
      <w:spacing w:before="120"/>
    </w:pPr>
    <w:rPr>
      <w:sz w:val="18"/>
    </w:rPr>
  </w:style>
  <w:style w:type="paragraph" w:customStyle="1" w:styleId="a3">
    <w:name w:val="附录标识"/>
    <w:basedOn w:val="a6"/>
    <w:qFormat/>
    <w:pPr>
      <w:numPr>
        <w:numId w:val="3"/>
      </w:numPr>
      <w:tabs>
        <w:tab w:val="left" w:pos="6405"/>
      </w:tabs>
      <w:spacing w:after="200"/>
    </w:pPr>
    <w:rPr>
      <w:sz w:val="21"/>
    </w:rPr>
  </w:style>
  <w:style w:type="paragraph" w:customStyle="1" w:styleId="affa">
    <w:name w:val="标准标志"/>
    <w:next w:val="a9"/>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b">
    <w:name w:val="封面标准文稿类别"/>
    <w:qFormat/>
    <w:pPr>
      <w:spacing w:before="440" w:line="400" w:lineRule="exact"/>
      <w:jc w:val="center"/>
    </w:pPr>
    <w:rPr>
      <w:rFonts w:ascii="宋体"/>
      <w:sz w:val="24"/>
    </w:rPr>
  </w:style>
  <w:style w:type="paragraph" w:customStyle="1" w:styleId="affc">
    <w:name w:val="其他发布部门"/>
    <w:basedOn w:val="a9"/>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fd">
    <w:name w:val="封面标准文稿编辑信息"/>
    <w:qFormat/>
    <w:pPr>
      <w:spacing w:before="180" w:line="180" w:lineRule="exact"/>
      <w:jc w:val="center"/>
    </w:pPr>
    <w:rPr>
      <w:rFonts w:ascii="宋体"/>
      <w:sz w:val="21"/>
    </w:rPr>
  </w:style>
  <w:style w:type="paragraph" w:customStyle="1" w:styleId="affe">
    <w:name w:val="目次、标准名称标题"/>
    <w:basedOn w:val="a6"/>
    <w:next w:val="af9"/>
    <w:qFormat/>
    <w:pPr>
      <w:numPr>
        <w:numId w:val="0"/>
      </w:numPr>
      <w:spacing w:line="460" w:lineRule="exact"/>
    </w:pPr>
  </w:style>
  <w:style w:type="paragraph" w:customStyle="1" w:styleId="afff">
    <w:name w:val="封面一致性程度标识"/>
    <w:qFormat/>
    <w:pPr>
      <w:spacing w:before="440" w:line="400" w:lineRule="exact"/>
      <w:jc w:val="center"/>
    </w:pPr>
    <w:rPr>
      <w:rFonts w:ascii="宋体"/>
      <w:sz w:val="28"/>
    </w:rPr>
  </w:style>
  <w:style w:type="paragraph" w:customStyle="1" w:styleId="10">
    <w:name w:val="列表段落1"/>
    <w:basedOn w:val="a9"/>
    <w:qFormat/>
    <w:pPr>
      <w:ind w:firstLineChars="200" w:firstLine="420"/>
    </w:pPr>
    <w:rPr>
      <w:rFonts w:ascii="Calibri" w:hAnsi="Calibri"/>
      <w:szCs w:val="22"/>
    </w:rPr>
  </w:style>
  <w:style w:type="paragraph" w:customStyle="1" w:styleId="afff0">
    <w:name w:val="实施日期"/>
    <w:basedOn w:val="aff7"/>
    <w:qFormat/>
    <w:pPr>
      <w:framePr w:hSpace="0" w:wrap="around" w:xAlign="right"/>
      <w:jc w:val="right"/>
    </w:pPr>
  </w:style>
  <w:style w:type="paragraph" w:customStyle="1" w:styleId="afff1">
    <w:name w:val="五级条标题"/>
    <w:basedOn w:val="afff2"/>
    <w:next w:val="af9"/>
    <w:qFormat/>
    <w:pPr>
      <w:numPr>
        <w:ilvl w:val="6"/>
      </w:numPr>
      <w:outlineLvl w:val="6"/>
    </w:pPr>
  </w:style>
  <w:style w:type="paragraph" w:customStyle="1" w:styleId="afff2">
    <w:name w:val="四级条标题"/>
    <w:basedOn w:val="afff3"/>
    <w:next w:val="af9"/>
    <w:qFormat/>
    <w:pPr>
      <w:numPr>
        <w:ilvl w:val="5"/>
      </w:numPr>
      <w:outlineLvl w:val="5"/>
    </w:pPr>
  </w:style>
  <w:style w:type="paragraph" w:customStyle="1" w:styleId="afff3">
    <w:name w:val="三级条标题"/>
    <w:basedOn w:val="afb"/>
    <w:next w:val="af9"/>
    <w:qFormat/>
    <w:pPr>
      <w:numPr>
        <w:ilvl w:val="4"/>
      </w:numPr>
      <w:tabs>
        <w:tab w:val="left" w:pos="360"/>
      </w:tabs>
      <w:outlineLvl w:val="4"/>
    </w:pPr>
  </w:style>
  <w:style w:type="paragraph" w:customStyle="1" w:styleId="afff4">
    <w:name w:val="附录一级条标题"/>
    <w:basedOn w:val="a4"/>
    <w:next w:val="af9"/>
    <w:qFormat/>
    <w:pPr>
      <w:numPr>
        <w:ilvl w:val="0"/>
        <w:numId w:val="0"/>
      </w:numPr>
      <w:autoSpaceDN w:val="0"/>
      <w:spacing w:before="0" w:after="0"/>
      <w:outlineLvl w:val="2"/>
    </w:pPr>
  </w:style>
  <w:style w:type="paragraph" w:customStyle="1" w:styleId="a8">
    <w:name w:val="注："/>
    <w:next w:val="af9"/>
    <w:qFormat/>
    <w:pPr>
      <w:widowControl w:val="0"/>
      <w:numPr>
        <w:numId w:val="4"/>
      </w:numPr>
      <w:autoSpaceDE w:val="0"/>
      <w:autoSpaceDN w:val="0"/>
      <w:jc w:val="both"/>
    </w:pPr>
    <w:rPr>
      <w:rFonts w:ascii="宋体"/>
      <w:sz w:val="18"/>
    </w:rPr>
  </w:style>
  <w:style w:type="paragraph" w:customStyle="1" w:styleId="afff5">
    <w:name w:val="文献分类号"/>
    <w:qFormat/>
    <w:pPr>
      <w:framePr w:hSpace="180" w:vSpace="180" w:wrap="around" w:hAnchor="margin" w:y="1" w:anchorLock="1"/>
      <w:widowControl w:val="0"/>
      <w:textAlignment w:val="center"/>
    </w:pPr>
    <w:rPr>
      <w:rFonts w:eastAsia="黑体"/>
      <w:sz w:val="21"/>
    </w:rPr>
  </w:style>
  <w:style w:type="paragraph" w:customStyle="1" w:styleId="a1">
    <w:name w:val="注×："/>
    <w:qFormat/>
    <w:pPr>
      <w:widowControl w:val="0"/>
      <w:numPr>
        <w:numId w:val="5"/>
      </w:numPr>
      <w:tabs>
        <w:tab w:val="clear" w:pos="900"/>
      </w:tabs>
      <w:autoSpaceDE w:val="0"/>
      <w:autoSpaceDN w:val="0"/>
      <w:jc w:val="both"/>
    </w:pPr>
    <w:rPr>
      <w:rFonts w:ascii="宋体"/>
      <w:sz w:val="18"/>
    </w:rPr>
  </w:style>
  <w:style w:type="paragraph" w:customStyle="1" w:styleId="afff6">
    <w:name w:val="标准称谓"/>
    <w:next w:val="a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7">
    <w:name w:val="字母编号列项（一级）"/>
    <w:qFormat/>
    <w:pPr>
      <w:ind w:leftChars="200" w:left="840" w:hangingChars="200" w:hanging="420"/>
      <w:jc w:val="both"/>
    </w:pPr>
    <w:rPr>
      <w:rFonts w:ascii="宋体"/>
      <w:sz w:val="21"/>
    </w:rPr>
  </w:style>
  <w:style w:type="character" w:styleId="afff8">
    <w:name w:val="Placeholder Text"/>
    <w:uiPriority w:val="99"/>
    <w:qFormat/>
    <w:rPr>
      <w:color w:val="808080"/>
    </w:rPr>
  </w:style>
  <w:style w:type="paragraph" w:customStyle="1" w:styleId="afff9">
    <w:name w:val="首示例"/>
    <w:next w:val="af9"/>
    <w:qFormat/>
    <w:pPr>
      <w:tabs>
        <w:tab w:val="left" w:pos="360"/>
      </w:tabs>
    </w:pPr>
    <w:rPr>
      <w:rFonts w:ascii="宋体" w:hAnsi="宋体"/>
      <w:kern w:val="2"/>
      <w:sz w:val="18"/>
      <w:szCs w:val="18"/>
    </w:rPr>
  </w:style>
  <w:style w:type="paragraph" w:customStyle="1" w:styleId="afffa">
    <w:name w:val="数字编号列项（二级）"/>
    <w:qFormat/>
    <w:pPr>
      <w:tabs>
        <w:tab w:val="left" w:pos="1260"/>
      </w:tabs>
      <w:ind w:left="1259" w:hanging="419"/>
      <w:jc w:val="both"/>
    </w:pPr>
    <w:rPr>
      <w:rFonts w:ascii="宋体"/>
      <w:sz w:val="21"/>
    </w:rPr>
  </w:style>
  <w:style w:type="paragraph" w:customStyle="1" w:styleId="a">
    <w:name w:val="二级无"/>
    <w:basedOn w:val="afb"/>
    <w:qFormat/>
    <w:pPr>
      <w:numPr>
        <w:ilvl w:val="2"/>
        <w:numId w:val="6"/>
      </w:numPr>
      <w:jc w:val="left"/>
    </w:pPr>
    <w:rPr>
      <w:rFonts w:ascii="宋体" w:eastAsia="宋体"/>
      <w:szCs w:val="21"/>
    </w:rPr>
  </w:style>
  <w:style w:type="paragraph" w:customStyle="1" w:styleId="a0">
    <w:name w:val="正文表标题"/>
    <w:next w:val="af9"/>
    <w:qFormat/>
    <w:pPr>
      <w:numPr>
        <w:numId w:val="7"/>
      </w:numPr>
      <w:spacing w:beforeLines="50" w:before="156" w:afterLines="50" w:after="156"/>
      <w:jc w:val="center"/>
    </w:pPr>
    <w:rPr>
      <w:rFonts w:ascii="黑体" w:eastAsia="黑体"/>
      <w:sz w:val="21"/>
    </w:rPr>
  </w:style>
  <w:style w:type="paragraph" w:customStyle="1" w:styleId="a2">
    <w:name w:val="正文图标题"/>
    <w:next w:val="af9"/>
    <w:qFormat/>
    <w:pPr>
      <w:numPr>
        <w:numId w:val="8"/>
      </w:numPr>
      <w:tabs>
        <w:tab w:val="left" w:pos="360"/>
      </w:tabs>
      <w:spacing w:beforeLines="50" w:before="156" w:afterLines="50" w:after="156"/>
      <w:jc w:val="center"/>
    </w:pPr>
    <w:rPr>
      <w:rFonts w:ascii="黑体" w:eastAsia="黑体"/>
      <w:sz w:val="21"/>
    </w:rPr>
  </w:style>
  <w:style w:type="character" w:customStyle="1" w:styleId="Char1">
    <w:name w:val="章标题 Char"/>
    <w:link w:val="a7"/>
    <w:qFormat/>
    <w:rPr>
      <w:rFonts w:ascii="黑体" w:eastAsia="黑体"/>
      <w:sz w:val="21"/>
    </w:rPr>
  </w:style>
  <w:style w:type="paragraph" w:styleId="afffb">
    <w:name w:val="List Paragraph"/>
    <w:basedOn w:val="a9"/>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614</Words>
  <Characters>3506</Characters>
  <Application>Microsoft Office Word</Application>
  <DocSecurity>0</DocSecurity>
  <Lines>29</Lines>
  <Paragraphs>8</Paragraphs>
  <ScaleCrop>false</ScaleCrop>
  <Company>标准化中心</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李晓辉</dc:creator>
  <cp:lastModifiedBy>姚晨之</cp:lastModifiedBy>
  <cp:revision>5</cp:revision>
  <cp:lastPrinted>2021-09-07T01:32:00Z</cp:lastPrinted>
  <dcterms:created xsi:type="dcterms:W3CDTF">2025-02-07T03:39:00Z</dcterms:created>
  <dcterms:modified xsi:type="dcterms:W3CDTF">2025-02-07T03:56:00Z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AC97722DF89245BC97AE57D726A72DEB_13</vt:lpwstr>
  </property>
  <property fmtid="{D5CDD505-2E9C-101B-9397-08002B2CF9AE}" pid="4" name="KSOTemplateDocerSaveRecord">
    <vt:lpwstr>eyJoZGlkIjoiYWU0MGY3MmRjZDEwODUyNmY3ZGE5MDEzYTRiODQ2MmIiLCJ1c2VySWQiOiI0MzI3OTcwNzAifQ==</vt:lpwstr>
  </property>
</Properties>
</file>