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BA69" w14:textId="77777777" w:rsidR="00AA35FD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国家标准《聚乙氧基化脂肪醇（脂肪醇聚氧乙烯醚）》编制说明</w:t>
      </w:r>
    </w:p>
    <w:p w14:paraId="2A41DADD" w14:textId="77777777" w:rsidR="00AA35FD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（征求意见稿）</w:t>
      </w:r>
    </w:p>
    <w:p w14:paraId="4A992DD4" w14:textId="77777777" w:rsidR="00AA35FD" w:rsidRDefault="00000000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717FF621" w14:textId="77777777" w:rsidR="00AA35FD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11A99325" w14:textId="77777777" w:rsidR="00AA35FD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0</w:t>
      </w:r>
      <w:r>
        <w:rPr>
          <w:rFonts w:hAnsi="宋体" w:hint="eastAsia"/>
          <w:szCs w:val="21"/>
        </w:rPr>
        <w:t>24</w:t>
      </w:r>
      <w:r>
        <w:rPr>
          <w:rFonts w:hAnsi="宋体" w:hint="eastAsia"/>
          <w:szCs w:val="21"/>
        </w:rPr>
        <w:t>年国家标准制修订项目，计划编号为</w:t>
      </w:r>
      <w:r>
        <w:rPr>
          <w:rFonts w:hAnsi="宋体" w:hint="eastAsia"/>
          <w:szCs w:val="21"/>
        </w:rPr>
        <w:t>20242600-T-607</w:t>
      </w:r>
      <w:r>
        <w:rPr>
          <w:rFonts w:hAnsi="宋体" w:hint="eastAsia"/>
          <w:szCs w:val="21"/>
        </w:rPr>
        <w:t>，项目名称《聚乙氧基化脂肪醇（脂肪醇聚氧乙烯醚）》，修订</w:t>
      </w:r>
      <w:r>
        <w:rPr>
          <w:rFonts w:hint="eastAsia"/>
          <w:szCs w:val="21"/>
        </w:rPr>
        <w:t>GB/T 17829-1999</w:t>
      </w:r>
      <w:r>
        <w:rPr>
          <w:rFonts w:hAnsi="宋体" w:hint="eastAsia"/>
          <w:szCs w:val="21"/>
        </w:rPr>
        <w:t>《聚乙氧基化脂肪醇》。主要起草单位：中国日用化学研究院有限公司等，项目实施周期</w:t>
      </w:r>
      <w:r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个月。</w:t>
      </w:r>
    </w:p>
    <w:p w14:paraId="385C536A" w14:textId="77777777" w:rsidR="00AA35FD" w:rsidRDefault="00000000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3B2092A9" w14:textId="77777777" w:rsidR="00AA35FD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6BA72BD8" w14:textId="77777777" w:rsidR="00AA35FD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</w:t>
      </w:r>
      <w:r>
        <w:rPr>
          <w:rFonts w:hint="eastAsia"/>
        </w:rPr>
        <w:t>聚乙氧基化脂肪醇</w:t>
      </w:r>
      <w:r>
        <w:rPr>
          <w:rFonts w:ascii="宋体" w:hAnsi="宋体" w:hint="eastAsia"/>
        </w:rPr>
        <w:t>进行了调研，并且检索了国内外技术资料。在此基础上编制出《</w:t>
      </w:r>
      <w:r>
        <w:rPr>
          <w:rFonts w:hint="eastAsia"/>
        </w:rPr>
        <w:t>聚乙氧基化脂肪醇（脂肪醇聚氧乙烯醚）</w:t>
      </w:r>
      <w:r>
        <w:rPr>
          <w:rFonts w:ascii="宋体" w:hAnsi="宋体" w:hint="eastAsia"/>
        </w:rPr>
        <w:t>》标准征求意见稿，报标委会秘书处。</w:t>
      </w:r>
    </w:p>
    <w:p w14:paraId="765A4F90" w14:textId="77777777" w:rsidR="00AA35FD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438867E8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6306FA5C" w14:textId="77777777" w:rsidR="00AA35FD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、标准编制原则</w:t>
      </w:r>
    </w:p>
    <w:p w14:paraId="0916057E" w14:textId="77777777" w:rsidR="00AA35FD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2CDD6CFF" w14:textId="77777777" w:rsidR="00AA35FD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本标准起草过程中，主要按</w:t>
      </w:r>
      <w:r>
        <w:t>GB/T 1.1</w:t>
      </w:r>
      <w:r>
        <w:t>－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5DA7E25C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5560</w:t>
      </w:r>
      <w:r>
        <w:rPr>
          <w:rFonts w:hAnsi="宋体"/>
        </w:rPr>
        <w:t xml:space="preserve"> </w:t>
      </w:r>
      <w:r>
        <w:rPr>
          <w:rFonts w:hAnsi="宋体" w:hint="eastAsia"/>
        </w:rPr>
        <w:t xml:space="preserve"> 非离子表面活性剂 聚乙二醇含量和非离子活性物(加成物)含量的测定 Weilbull法</w:t>
      </w:r>
    </w:p>
    <w:p w14:paraId="2BF27946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6368</w:t>
      </w:r>
      <w:r>
        <w:rPr>
          <w:rFonts w:hAnsi="宋体"/>
        </w:rPr>
        <w:t xml:space="preserve">  </w:t>
      </w:r>
      <w:r>
        <w:rPr>
          <w:rFonts w:hAnsi="宋体" w:hint="eastAsia"/>
        </w:rPr>
        <w:t>表面活性剂 水溶液pH值的测定 电位法</w:t>
      </w:r>
    </w:p>
    <w:p w14:paraId="310D1476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6682</w:t>
      </w:r>
      <w:r>
        <w:rPr>
          <w:rFonts w:hAnsi="宋体"/>
        </w:rPr>
        <w:t xml:space="preserve">  </w:t>
      </w:r>
      <w:r>
        <w:rPr>
          <w:rFonts w:hAnsi="宋体" w:hint="eastAsia"/>
        </w:rPr>
        <w:t>分析实验室用水规格和试验方法</w:t>
      </w:r>
    </w:p>
    <w:p w14:paraId="7B448C5A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7383</w:t>
      </w:r>
      <w:r>
        <w:rPr>
          <w:rFonts w:hAnsi="宋体"/>
        </w:rPr>
        <w:t xml:space="preserve">  </w:t>
      </w:r>
      <w:r>
        <w:rPr>
          <w:rFonts w:hAnsi="宋体" w:hint="eastAsia"/>
        </w:rPr>
        <w:t>非离子表面活性剂 羟值的测定</w:t>
      </w:r>
    </w:p>
    <w:p w14:paraId="1CB346C4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7385</w:t>
      </w:r>
      <w:r>
        <w:rPr>
          <w:rFonts w:hAnsi="宋体"/>
        </w:rPr>
        <w:t xml:space="preserve">  </w:t>
      </w:r>
      <w:r>
        <w:rPr>
          <w:rFonts w:hAnsi="宋体" w:hint="eastAsia"/>
        </w:rPr>
        <w:t>非离子型表面活性剂 聚乙氧基化衍生物中氧乙烯基含量的测定 碘量法</w:t>
      </w:r>
    </w:p>
    <w:p w14:paraId="55B3A312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8170</w:t>
      </w:r>
      <w:r>
        <w:rPr>
          <w:rFonts w:hAnsi="宋体"/>
        </w:rPr>
        <w:t xml:space="preserve"> </w:t>
      </w:r>
      <w:r>
        <w:rPr>
          <w:rFonts w:hAnsi="宋体" w:hint="eastAsia"/>
        </w:rPr>
        <w:t xml:space="preserve"> 数值修约规则与极限数值的表示和判定</w:t>
      </w:r>
    </w:p>
    <w:p w14:paraId="6783D5F5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9282</w:t>
      </w:r>
      <w:r>
        <w:rPr>
          <w:rFonts w:hAnsi="宋体"/>
        </w:rPr>
        <w:t xml:space="preserve">.1  </w:t>
      </w:r>
      <w:r>
        <w:rPr>
          <w:rFonts w:hAnsi="宋体" w:hint="eastAsia"/>
        </w:rPr>
        <w:t>透明液体 以铂-钴等级评定颜色 第1部分：目视法</w:t>
      </w:r>
    </w:p>
    <w:p w14:paraId="4E7B4FBB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GB/T 17830</w:t>
      </w:r>
      <w:r>
        <w:rPr>
          <w:rFonts w:hAnsi="宋体"/>
        </w:rPr>
        <w:t xml:space="preserve">  </w:t>
      </w:r>
      <w:r>
        <w:rPr>
          <w:rFonts w:hAnsi="宋体" w:hint="eastAsia"/>
        </w:rPr>
        <w:t>聚乙氧基化非离子表面活性剂中聚乙二醇含量的测定 高效液相色谱法</w:t>
      </w:r>
    </w:p>
    <w:p w14:paraId="48C3EB7E" w14:textId="77777777" w:rsidR="00AA35FD" w:rsidRDefault="00000000">
      <w:pPr>
        <w:pStyle w:val="a7"/>
        <w:ind w:firstLine="420"/>
        <w:rPr>
          <w:rFonts w:hAnsi="宋体" w:hint="eastAsia"/>
        </w:rPr>
      </w:pPr>
      <w:r>
        <w:rPr>
          <w:rFonts w:hAnsi="宋体" w:hint="eastAsia"/>
        </w:rPr>
        <w:t>QB/T 1324 洗涤剂和表面活性剂含水量的测定 卡尔</w:t>
      </w:r>
      <w:r>
        <w:rPr>
          <w:rFonts w:hAnsi="宋体" w:cs="宋体" w:hint="eastAsia"/>
        </w:rPr>
        <w:t>·</w:t>
      </w:r>
      <w:r>
        <w:rPr>
          <w:rFonts w:hAnsi="宋体" w:hint="eastAsia"/>
        </w:rPr>
        <w:t>费休法</w:t>
      </w:r>
    </w:p>
    <w:p w14:paraId="3343E943" w14:textId="77777777" w:rsidR="00AA35FD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1F89C028" w14:textId="77777777" w:rsidR="00AA35FD" w:rsidRDefault="00000000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原文件</w:t>
      </w:r>
      <w:r>
        <w:rPr>
          <w:rFonts w:hint="eastAsia"/>
        </w:rPr>
        <w:t>1999</w:t>
      </w:r>
      <w:r>
        <w:rPr>
          <w:rFonts w:ascii="宋体" w:hAnsi="宋体" w:hint="eastAsia"/>
          <w:szCs w:val="21"/>
        </w:rPr>
        <w:t>年发布执行，规定了</w:t>
      </w:r>
      <w:r>
        <w:rPr>
          <w:rFonts w:hint="eastAsia"/>
        </w:rPr>
        <w:t>外观、色泽、</w:t>
      </w:r>
      <w:r>
        <w:rPr>
          <w:rFonts w:hint="eastAsia"/>
        </w:rPr>
        <w:t>pH</w:t>
      </w:r>
      <w:r>
        <w:rPr>
          <w:rFonts w:hint="eastAsia"/>
        </w:rPr>
        <w:t>值、水分、聚乙二醇、平均加合数、羟值</w:t>
      </w:r>
      <w:r>
        <w:rPr>
          <w:rFonts w:ascii="宋体" w:hAnsi="宋体" w:hint="eastAsia"/>
          <w:szCs w:val="21"/>
        </w:rPr>
        <w:t>等7项指标的试验方法。本次修订仍围绕这些指标进行，主要变动内容有：</w:t>
      </w:r>
    </w:p>
    <w:p w14:paraId="01FBE679" w14:textId="77777777" w:rsidR="00AA35FD" w:rsidRDefault="00000000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——更改了文件名称。原文件名称为聚乙氧基化脂肪醇，但在各生产商及用户中应用更为普及的名称为脂肪醇聚氧乙烯醚，为增强文件在行业内的适用性，将文件名称更改为“聚乙氧基化脂肪醇（脂肪醇聚氧乙烯醚）”；</w:t>
      </w:r>
    </w:p>
    <w:p w14:paraId="5E29EDEA" w14:textId="77777777" w:rsidR="00AA35FD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</w:t>
      </w:r>
      <w:r>
        <w:rPr>
          <w:rFonts w:hAnsi="宋体"/>
        </w:rPr>
        <w:t>更改了</w:t>
      </w:r>
      <w:r>
        <w:rPr>
          <w:rFonts w:hAnsi="宋体" w:hint="eastAsia"/>
        </w:rPr>
        <w:t>M类一等品的外观的技术要求。原文件中M类一等品的外观要求为“微黄液体”，但实际检验过程中发现，某些M类产品的外观为无色液体，符合优等品而不符合一等品的技术要求；但其他项目仅符合一等品的技术要求，此类情况，依据原文件不好判定。故为使描述更加严谨并切合实际，M类一等品的外观要求由“微黄液体”更改为“</w:t>
      </w:r>
      <w:r>
        <w:t>无色</w:t>
      </w:r>
      <w:r>
        <w:rPr>
          <w:rFonts w:ascii="Times New Roman" w:hint="eastAsia"/>
          <w:lang w:bidi="en-US"/>
        </w:rPr>
        <w:t>至</w:t>
      </w:r>
      <w:r>
        <w:t>微黄液体</w:t>
      </w:r>
      <w:r>
        <w:rPr>
          <w:rFonts w:hAnsi="宋体" w:hint="eastAsia"/>
        </w:rPr>
        <w:t>”；</w:t>
      </w:r>
    </w:p>
    <w:p w14:paraId="09991BE7" w14:textId="77777777" w:rsidR="00AA35FD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</w:t>
      </w:r>
      <w:r>
        <w:rPr>
          <w:rFonts w:hAnsi="宋体"/>
        </w:rPr>
        <w:t>更改了</w:t>
      </w:r>
      <w:r>
        <w:rPr>
          <w:rFonts w:hAnsi="宋体" w:hint="eastAsia"/>
        </w:rPr>
        <w:t>色泽的试验方法。原文件中依据GB/T 9982-1988《透明液体 以铂-钴等级评定颜色》测定色泽，目前该文件已更新并分为两个部分，分别为GB/T 9982.1-2008《透明液体 以铂-钴等级评定颜色 第1部分：目视法》及GB/T 9982.2《透明液体 以铂-钴等级评定颜色 分光光度法》（尚</w:t>
      </w:r>
      <w:r>
        <w:rPr>
          <w:rFonts w:hAnsi="宋体" w:hint="eastAsia"/>
        </w:rPr>
        <w:lastRenderedPageBreak/>
        <w:t>未发布），</w:t>
      </w:r>
      <w:r>
        <w:rPr>
          <w:rFonts w:hint="eastAsia"/>
          <w:kern w:val="2"/>
        </w:rPr>
        <w:t>故在本文件中更改为依据</w:t>
      </w:r>
      <w:r>
        <w:rPr>
          <w:rFonts w:hAnsi="宋体" w:hint="eastAsia"/>
        </w:rPr>
        <w:t>GB/T 9982.1-2008的规定测定色泽</w:t>
      </w:r>
      <w:r>
        <w:rPr>
          <w:rFonts w:hint="eastAsia"/>
          <w:kern w:val="2"/>
        </w:rPr>
        <w:t>。与</w:t>
      </w:r>
      <w:r>
        <w:rPr>
          <w:rFonts w:hAnsi="宋体" w:hint="eastAsia"/>
        </w:rPr>
        <w:t>GB/T 9982-1988相比，GB/T 9982.1-2008中删除了</w:t>
      </w:r>
      <w:r>
        <w:rPr>
          <w:rFonts w:hint="eastAsia"/>
          <w:szCs w:val="21"/>
        </w:rPr>
        <w:t>铂钴单位5、15、25、35、175五个等级，但实际测定中，样品色泽以5Hazen居多，需要配制5铂钴单位等级的标准比色液，故在文件正文中增加“可根据实际需要增加5、15、25、35等铂钴单位等级”的描述</w:t>
      </w:r>
      <w:r>
        <w:rPr>
          <w:rFonts w:hint="eastAsia"/>
          <w:kern w:val="2"/>
        </w:rPr>
        <w:t>；</w:t>
      </w:r>
    </w:p>
    <w:p w14:paraId="51D023FD" w14:textId="77777777" w:rsidR="00AA35FD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</w:t>
      </w:r>
      <w:r>
        <w:rPr>
          <w:rFonts w:hAnsi="宋体"/>
        </w:rPr>
        <w:t>更改了</w:t>
      </w:r>
      <w:r>
        <w:rPr>
          <w:rFonts w:hAnsi="宋体" w:hint="eastAsia"/>
        </w:rPr>
        <w:t>水分测定的试验方法</w:t>
      </w:r>
      <w:r>
        <w:rPr>
          <w:rFonts w:hint="eastAsia"/>
          <w:kern w:val="2"/>
        </w:rPr>
        <w:t>。</w:t>
      </w:r>
      <w:r>
        <w:rPr>
          <w:rFonts w:hAnsi="宋体" w:hint="eastAsia"/>
        </w:rPr>
        <w:t>原文件中测定水分时依据</w:t>
      </w:r>
      <w:r>
        <w:rPr>
          <w:rFonts w:hint="eastAsia"/>
          <w:kern w:val="2"/>
        </w:rPr>
        <w:t>GB/T 7380-1995《</w:t>
      </w:r>
      <w:r>
        <w:rPr>
          <w:rFonts w:hAnsi="宋体" w:hint="eastAsia"/>
        </w:rPr>
        <w:t>表面活性剂和洗涤剂 含水量的测定 卡尔</w:t>
      </w:r>
      <w:r>
        <w:rPr>
          <w:rFonts w:hAnsi="宋体" w:cs="宋体" w:hint="eastAsia"/>
        </w:rPr>
        <w:t>·</w:t>
      </w:r>
      <w:r>
        <w:rPr>
          <w:rFonts w:hAnsi="宋体" w:hint="eastAsia"/>
        </w:rPr>
        <w:t>费休法</w:t>
      </w:r>
      <w:r>
        <w:rPr>
          <w:rFonts w:hint="eastAsia"/>
          <w:kern w:val="2"/>
        </w:rPr>
        <w:t>》</w:t>
      </w:r>
      <w:r>
        <w:rPr>
          <w:rFonts w:hAnsi="宋体" w:hint="eastAsia"/>
        </w:rPr>
        <w:t>，目前该文件已被整合修订为GB/T 11275-2007《表面活性剂 含水量的测定》中的其中一个方法，是对ISO 4317:1991的修改采用,另一个方法为共沸蒸馏法，不适用于聚乙二醇。经查，归口于SAC/TC 272的 QB/T 1324-2023《洗涤剂和表面活性剂含水量的测定  卡尔·费休双溶液法》是对ISO 4317:2001的修改采用。经比较标准的时效性及适用性，最后确定依据QB/T 1324来测定水分</w:t>
      </w:r>
      <w:r>
        <w:rPr>
          <w:rFonts w:hint="eastAsia"/>
          <w:kern w:val="2"/>
        </w:rPr>
        <w:t>；</w:t>
      </w:r>
    </w:p>
    <w:p w14:paraId="39018E28" w14:textId="77777777" w:rsidR="00AA35FD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</w:t>
      </w:r>
      <w:r>
        <w:rPr>
          <w:rFonts w:hAnsi="宋体"/>
        </w:rPr>
        <w:t>更改了</w:t>
      </w:r>
      <w:r>
        <w:rPr>
          <w:rFonts w:hAnsi="宋体" w:hint="eastAsia"/>
        </w:rPr>
        <w:t>羟值的试验方法。原文件中依据</w:t>
      </w:r>
      <w:r>
        <w:rPr>
          <w:rFonts w:hint="eastAsia"/>
          <w:kern w:val="2"/>
        </w:rPr>
        <w:t>GB/T 7384-1995《非离子</w:t>
      </w:r>
      <w:r>
        <w:rPr>
          <w:rFonts w:hAnsi="宋体" w:hint="eastAsia"/>
        </w:rPr>
        <w:t>表面活性剂 聚乙氧基化衍生物羟值的测定 乙酐法</w:t>
      </w:r>
      <w:r>
        <w:rPr>
          <w:rFonts w:hint="eastAsia"/>
          <w:kern w:val="2"/>
        </w:rPr>
        <w:t>》测定羟值，目前该文件已修订更新为</w:t>
      </w:r>
      <w:r>
        <w:rPr>
          <w:rFonts w:hAnsi="宋体" w:hint="eastAsia"/>
        </w:rPr>
        <w:t>GB/T 7383-2020《非离子表面活性剂 羟值的测定》。GB/T 7383-2020不仅包括了</w:t>
      </w:r>
      <w:r>
        <w:rPr>
          <w:rFonts w:hint="eastAsia"/>
          <w:kern w:val="2"/>
        </w:rPr>
        <w:t>GB/T 7384-1995描述的乙酐法，同时还</w:t>
      </w:r>
      <w:r>
        <w:rPr>
          <w:rFonts w:hAnsi="宋体" w:hint="eastAsia"/>
        </w:rPr>
        <w:t>描述了邻苯二甲酸酐法和近红外光谱法，提供了更多的方法选择，故修改为依据GB/T 7383测定羟值</w:t>
      </w:r>
      <w:r>
        <w:rPr>
          <w:rFonts w:hint="eastAsia"/>
          <w:kern w:val="2"/>
        </w:rPr>
        <w:t>；</w:t>
      </w:r>
    </w:p>
    <w:p w14:paraId="0C2D650F" w14:textId="77777777" w:rsidR="00AA35FD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——按GB/T 1.1—2020要求对文件重新进行编辑性修改。</w:t>
      </w:r>
    </w:p>
    <w:p w14:paraId="68C46C18" w14:textId="77777777" w:rsidR="00AA35FD" w:rsidRDefault="00000000">
      <w:pPr>
        <w:rPr>
          <w:szCs w:val="21"/>
        </w:rPr>
      </w:pPr>
      <w:r>
        <w:rPr>
          <w:rFonts w:ascii="宋体" w:hAnsi="宋体" w:hint="eastAsia"/>
          <w:b/>
        </w:rPr>
        <w:t>三、主要试验（或验证）情况</w:t>
      </w:r>
    </w:p>
    <w:p w14:paraId="060C41E0" w14:textId="77777777" w:rsidR="00AA35FD" w:rsidRDefault="00000000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对常见的醇醚产品按本标准进行了部分重点指标试验验证，试验结果见表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。</w:t>
      </w:r>
    </w:p>
    <w:p w14:paraId="5BD52BDB" w14:textId="77777777" w:rsidR="00AA35FD" w:rsidRDefault="00000000">
      <w:pPr>
        <w:pStyle w:val="a3"/>
        <w:jc w:val="center"/>
        <w:rPr>
          <w:sz w:val="21"/>
          <w:szCs w:val="21"/>
        </w:rPr>
      </w:pPr>
      <w:r>
        <w:rPr>
          <w:sz w:val="21"/>
          <w:szCs w:val="21"/>
        </w:rPr>
        <w:t>表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1 </w:t>
      </w:r>
      <w:r>
        <w:rPr>
          <w:rFonts w:hint="eastAsia"/>
          <w:sz w:val="21"/>
          <w:szCs w:val="21"/>
        </w:rPr>
        <w:t>聚乙氧基化脂肪醇测试结果</w:t>
      </w: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45"/>
        <w:gridCol w:w="1001"/>
        <w:gridCol w:w="1294"/>
        <w:gridCol w:w="1412"/>
        <w:gridCol w:w="1802"/>
        <w:gridCol w:w="1802"/>
      </w:tblGrid>
      <w:tr w:rsidR="00AA35FD" w14:paraId="0D6954A3" w14:textId="77777777">
        <w:trPr>
          <w:trHeight w:val="152"/>
          <w:tblHeader/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4D3A28B6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编号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B3B0DA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</w:t>
            </w:r>
          </w:p>
          <w:p w14:paraId="1C004AA0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23B9C56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等级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0A92EC55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色泽</w:t>
            </w:r>
            <w:r>
              <w:rPr>
                <w:sz w:val="18"/>
                <w:szCs w:val="18"/>
              </w:rPr>
              <w:t>/Hazen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53E982A2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水分</w:t>
            </w:r>
            <w:r>
              <w:rPr>
                <w:sz w:val="18"/>
                <w:szCs w:val="18"/>
              </w:rPr>
              <w:t>/ %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00BF6618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聚乙二醇</w:t>
            </w:r>
            <w:r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246AC75A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羟值</w:t>
            </w:r>
            <w:r>
              <w:rPr>
                <w:sz w:val="18"/>
                <w:szCs w:val="18"/>
              </w:rPr>
              <w:t>/(mmol/100g)</w:t>
            </w:r>
          </w:p>
        </w:tc>
      </w:tr>
      <w:tr w:rsidR="00AA35FD" w14:paraId="237AC9B9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04D6530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71AC88B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AEO1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98C4FF7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优等品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42DA9BAF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26E49DE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0.10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03CFC071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4A1597EC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238</w:t>
            </w:r>
          </w:p>
        </w:tc>
      </w:tr>
      <w:tr w:rsidR="00AA35FD" w14:paraId="0DEEEDCC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1FB246DB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F7EF467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AEO1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9782C7B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优等品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43920EC0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19BC664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0.10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1D4D03BC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2AEC03D8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236</w:t>
            </w:r>
          </w:p>
        </w:tc>
      </w:tr>
      <w:tr w:rsidR="00AA35FD" w14:paraId="659E6F2F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30EE0B61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D754AAC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AEO2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6456CE4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优等品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C991C0A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2E0653B6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0.09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333C65D1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686340F5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203</w:t>
            </w:r>
          </w:p>
        </w:tc>
      </w:tr>
      <w:tr w:rsidR="00AA35FD" w14:paraId="106FBD2D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60B11E8C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6FE814E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AEO2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023D1FA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  <w:r>
              <w:rPr>
                <w:sz w:val="18"/>
                <w:szCs w:val="18"/>
              </w:rPr>
              <w:t>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40EAB6F2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2B8DDB53" w14:textId="77777777" w:rsidR="00AA35FD" w:rsidRDefault="00000000"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0.11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3BBE5F91" w14:textId="77777777" w:rsidR="00AA35FD" w:rsidRDefault="00000000"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1.2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7A9DE10C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197</w:t>
            </w:r>
          </w:p>
        </w:tc>
      </w:tr>
      <w:tr w:rsidR="00AA35FD" w14:paraId="51C1887A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460947D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B279008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7CD4345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优等品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ED5F99D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789A8907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0.07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5FC598AB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7372764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172</w:t>
            </w:r>
          </w:p>
        </w:tc>
      </w:tr>
      <w:tr w:rsidR="00AA35FD" w14:paraId="38562694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0886630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9AE0B9F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A17C03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6012ACC5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0EE11AAA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0.17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61BDBB0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11BBD230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</w:t>
            </w:r>
          </w:p>
        </w:tc>
      </w:tr>
      <w:tr w:rsidR="00AA35FD" w14:paraId="27E09164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52A5369F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9347996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D29266A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优等品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1B961C7D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6EB38FD0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661C271D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0.9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65A1D30E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108</w:t>
            </w:r>
          </w:p>
        </w:tc>
      </w:tr>
      <w:tr w:rsidR="00AA35FD" w14:paraId="7BF37BA0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12B3A78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4CADE22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B01FAD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优等品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59399BBB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1EB1678E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0.06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3F29B25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0EB5801F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</w:t>
            </w:r>
          </w:p>
        </w:tc>
      </w:tr>
      <w:tr w:rsidR="00AA35FD" w14:paraId="48B12277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681F614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73EC4BB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AEO9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422B8B5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优等品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76ECE45A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53F97763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0.07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1E142D4C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2E80BAA6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</w:tr>
      <w:tr w:rsidR="00AA35FD" w14:paraId="57A93303" w14:textId="77777777">
        <w:trPr>
          <w:jc w:val="center"/>
        </w:trPr>
        <w:tc>
          <w:tcPr>
            <w:tcW w:w="378" w:type="pct"/>
            <w:shd w:val="clear" w:color="auto" w:fill="auto"/>
            <w:vAlign w:val="center"/>
          </w:tcPr>
          <w:p w14:paraId="5F620F3B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BCBB24D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AEO9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0842BC9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一等品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06272C41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0" w:type="pct"/>
            <w:shd w:val="clear" w:color="auto" w:fill="auto"/>
            <w:vAlign w:val="center"/>
          </w:tcPr>
          <w:p w14:paraId="59908281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0.9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753819E6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389DB3C2" w14:textId="77777777" w:rsidR="00AA35F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</w:t>
            </w:r>
          </w:p>
        </w:tc>
      </w:tr>
    </w:tbl>
    <w:p w14:paraId="1D61C1DE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5BBDC440" w14:textId="77777777" w:rsidR="00AA35FD" w:rsidRDefault="00000000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>
        <w:rPr>
          <w:rFonts w:ascii="宋体" w:hint="eastAsia"/>
          <w:szCs w:val="21"/>
        </w:rPr>
        <w:t>本标准中不涉及专利问题。</w:t>
      </w:r>
    </w:p>
    <w:p w14:paraId="0DA39254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1D1C2A2B" w14:textId="77777777" w:rsidR="00AA35FD" w:rsidRDefault="00000000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本标准的修订过程中做了市场商品的数据调研和大量的实验验证、与生产企业和下游用户进行了充分的讨论。</w:t>
      </w:r>
      <w:r>
        <w:rPr>
          <w:rFonts w:ascii="宋体" w:hAnsi="宋体" w:hint="eastAsia"/>
          <w:bCs/>
          <w:szCs w:val="21"/>
        </w:rPr>
        <w:t>本标准实施后，可以建立一个公正、统一的甘油产品质量评价平台，有利于保护消费者利益，促进市场良性竞争发展。</w:t>
      </w:r>
    </w:p>
    <w:p w14:paraId="5C8A7748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73883CD5" w14:textId="77777777" w:rsidR="00AA35FD" w:rsidRDefault="00000000">
      <w:pPr>
        <w:ind w:firstLineChars="200" w:firstLine="420"/>
        <w:rPr>
          <w:szCs w:val="21"/>
          <w:highlight w:val="yellow"/>
        </w:rPr>
      </w:pPr>
      <w:bookmarkStart w:id="0" w:name="_Hlk108629264"/>
      <w:r>
        <w:rPr>
          <w:rFonts w:hint="eastAsia"/>
        </w:rPr>
        <w:t>无</w:t>
      </w:r>
      <w:r>
        <w:t>。</w:t>
      </w:r>
      <w:bookmarkEnd w:id="0"/>
    </w:p>
    <w:p w14:paraId="20AD4CE3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584CC1BF" w14:textId="77777777" w:rsidR="00AA35FD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3C2340D0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2F7A36F1" w14:textId="77777777" w:rsidR="00AA35FD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7E9A8B0C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2B8F34FF" w14:textId="77777777" w:rsidR="00AA35FD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建议本标准的性质为推荐性国家标准。</w:t>
      </w:r>
    </w:p>
    <w:p w14:paraId="5525977A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3637C00B" w14:textId="77777777" w:rsidR="00AA35FD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lastRenderedPageBreak/>
        <w:t>建议本标准批准发布</w:t>
      </w:r>
      <w:r>
        <w:t>6</w:t>
      </w:r>
      <w:r>
        <w:rPr>
          <w:rFonts w:hint="eastAsia"/>
        </w:rPr>
        <w:t>个月后实施。</w:t>
      </w:r>
    </w:p>
    <w:p w14:paraId="5A6F686A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7F05A17E" w14:textId="77777777" w:rsidR="00AA35FD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>GB/T 17829-1999</w:t>
      </w:r>
      <w:r>
        <w:rPr>
          <w:rFonts w:ascii="宋体" w:hAnsi="宋体" w:hint="eastAsia"/>
          <w:kern w:val="0"/>
          <w:szCs w:val="21"/>
        </w:rPr>
        <w:t>。</w:t>
      </w:r>
    </w:p>
    <w:p w14:paraId="161149B3" w14:textId="77777777" w:rsidR="00AA35FD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5082F046" w14:textId="74D6ABF8" w:rsidR="00AA35FD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  <w:r w:rsidR="00061FB3">
        <w:rPr>
          <w:rFonts w:ascii="宋体" w:hAnsi="宋体" w:hint="eastAsia"/>
        </w:rPr>
        <w:t>。</w:t>
      </w:r>
    </w:p>
    <w:sectPr w:rsidR="00AA35FD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12AB2" w14:textId="77777777" w:rsidR="005907E2" w:rsidRDefault="005907E2">
      <w:r>
        <w:separator/>
      </w:r>
    </w:p>
  </w:endnote>
  <w:endnote w:type="continuationSeparator" w:id="0">
    <w:p w14:paraId="3D36DDF1" w14:textId="77777777" w:rsidR="005907E2" w:rsidRDefault="0059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783DC" w14:textId="77777777" w:rsidR="005907E2" w:rsidRDefault="005907E2">
      <w:r>
        <w:separator/>
      </w:r>
    </w:p>
  </w:footnote>
  <w:footnote w:type="continuationSeparator" w:id="0">
    <w:p w14:paraId="01567424" w14:textId="77777777" w:rsidR="005907E2" w:rsidRDefault="0059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8FD" w14:textId="77777777" w:rsidR="00AA35FD" w:rsidRDefault="00AA35FD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66875663">
    <w:abstractNumId w:val="1"/>
  </w:num>
  <w:num w:numId="2" w16cid:durableId="15422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B1"/>
    <w:rsid w:val="0002568F"/>
    <w:rsid w:val="00027097"/>
    <w:rsid w:val="00032780"/>
    <w:rsid w:val="00061FB3"/>
    <w:rsid w:val="000908BD"/>
    <w:rsid w:val="000E426E"/>
    <w:rsid w:val="00144052"/>
    <w:rsid w:val="00192088"/>
    <w:rsid w:val="001A7789"/>
    <w:rsid w:val="001D30AD"/>
    <w:rsid w:val="001D34C7"/>
    <w:rsid w:val="001F3D31"/>
    <w:rsid w:val="00261E33"/>
    <w:rsid w:val="002627F3"/>
    <w:rsid w:val="002825D8"/>
    <w:rsid w:val="002B20B0"/>
    <w:rsid w:val="002F3A9E"/>
    <w:rsid w:val="003371BE"/>
    <w:rsid w:val="003824D9"/>
    <w:rsid w:val="003B38B4"/>
    <w:rsid w:val="003C17F7"/>
    <w:rsid w:val="003D54AD"/>
    <w:rsid w:val="003F53D7"/>
    <w:rsid w:val="003F7664"/>
    <w:rsid w:val="004026AF"/>
    <w:rsid w:val="00404548"/>
    <w:rsid w:val="00421781"/>
    <w:rsid w:val="004639BE"/>
    <w:rsid w:val="004655C9"/>
    <w:rsid w:val="004F0308"/>
    <w:rsid w:val="00516179"/>
    <w:rsid w:val="00520C73"/>
    <w:rsid w:val="0052550D"/>
    <w:rsid w:val="00550B2A"/>
    <w:rsid w:val="00560A3D"/>
    <w:rsid w:val="0057072D"/>
    <w:rsid w:val="005907E2"/>
    <w:rsid w:val="00592F2D"/>
    <w:rsid w:val="005B43DC"/>
    <w:rsid w:val="005D48CC"/>
    <w:rsid w:val="005E7DF4"/>
    <w:rsid w:val="005F2A32"/>
    <w:rsid w:val="00617573"/>
    <w:rsid w:val="0066457C"/>
    <w:rsid w:val="00671E8C"/>
    <w:rsid w:val="00695F80"/>
    <w:rsid w:val="006C0F75"/>
    <w:rsid w:val="006C2E13"/>
    <w:rsid w:val="006C3B15"/>
    <w:rsid w:val="006F580C"/>
    <w:rsid w:val="006F62C3"/>
    <w:rsid w:val="00726C9B"/>
    <w:rsid w:val="0074060C"/>
    <w:rsid w:val="00785399"/>
    <w:rsid w:val="0078648A"/>
    <w:rsid w:val="007A419E"/>
    <w:rsid w:val="007B007E"/>
    <w:rsid w:val="007B456D"/>
    <w:rsid w:val="00862325"/>
    <w:rsid w:val="00873DCD"/>
    <w:rsid w:val="008C61D1"/>
    <w:rsid w:val="008E0326"/>
    <w:rsid w:val="009050A4"/>
    <w:rsid w:val="009420DA"/>
    <w:rsid w:val="009617B5"/>
    <w:rsid w:val="009653AB"/>
    <w:rsid w:val="00976075"/>
    <w:rsid w:val="009832B4"/>
    <w:rsid w:val="009D175F"/>
    <w:rsid w:val="009D6630"/>
    <w:rsid w:val="009E0F33"/>
    <w:rsid w:val="009E2BB1"/>
    <w:rsid w:val="009E3392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873B9"/>
    <w:rsid w:val="00AA35FD"/>
    <w:rsid w:val="00AC390C"/>
    <w:rsid w:val="00AD7E93"/>
    <w:rsid w:val="00AF5167"/>
    <w:rsid w:val="00AF6912"/>
    <w:rsid w:val="00B24BBC"/>
    <w:rsid w:val="00B5154D"/>
    <w:rsid w:val="00B931E8"/>
    <w:rsid w:val="00BA5E70"/>
    <w:rsid w:val="00BB7183"/>
    <w:rsid w:val="00BC23C6"/>
    <w:rsid w:val="00BF4BC1"/>
    <w:rsid w:val="00C01756"/>
    <w:rsid w:val="00C22F41"/>
    <w:rsid w:val="00C306B1"/>
    <w:rsid w:val="00C45211"/>
    <w:rsid w:val="00C475AC"/>
    <w:rsid w:val="00C5154B"/>
    <w:rsid w:val="00C66ED7"/>
    <w:rsid w:val="00C761E1"/>
    <w:rsid w:val="00C81224"/>
    <w:rsid w:val="00C863A4"/>
    <w:rsid w:val="00C949D4"/>
    <w:rsid w:val="00CC7CC8"/>
    <w:rsid w:val="00CE6CC2"/>
    <w:rsid w:val="00D07E37"/>
    <w:rsid w:val="00D1112A"/>
    <w:rsid w:val="00DB5765"/>
    <w:rsid w:val="00DC1B67"/>
    <w:rsid w:val="00DE708A"/>
    <w:rsid w:val="00E17954"/>
    <w:rsid w:val="00E70B31"/>
    <w:rsid w:val="00E955AB"/>
    <w:rsid w:val="00EB2F1D"/>
    <w:rsid w:val="00EE5D18"/>
    <w:rsid w:val="00EF2E6F"/>
    <w:rsid w:val="00F12F6D"/>
    <w:rsid w:val="00F353E9"/>
    <w:rsid w:val="00F673DD"/>
    <w:rsid w:val="00FA79B7"/>
    <w:rsid w:val="00FF0308"/>
    <w:rsid w:val="04955F75"/>
    <w:rsid w:val="0AD03779"/>
    <w:rsid w:val="0BB043BA"/>
    <w:rsid w:val="114575D7"/>
    <w:rsid w:val="13E06928"/>
    <w:rsid w:val="1562352F"/>
    <w:rsid w:val="1B34121C"/>
    <w:rsid w:val="1E5B4CA1"/>
    <w:rsid w:val="21CE6CB6"/>
    <w:rsid w:val="23092988"/>
    <w:rsid w:val="24343488"/>
    <w:rsid w:val="25475DB1"/>
    <w:rsid w:val="28785C20"/>
    <w:rsid w:val="28C2675F"/>
    <w:rsid w:val="28DF4247"/>
    <w:rsid w:val="33670A4A"/>
    <w:rsid w:val="33CC55CB"/>
    <w:rsid w:val="34CE6FB8"/>
    <w:rsid w:val="3A96260F"/>
    <w:rsid w:val="3B144E96"/>
    <w:rsid w:val="42E84677"/>
    <w:rsid w:val="43EF27CA"/>
    <w:rsid w:val="461F5916"/>
    <w:rsid w:val="46EE5581"/>
    <w:rsid w:val="4E3A02CF"/>
    <w:rsid w:val="50A02EBD"/>
    <w:rsid w:val="573945F7"/>
    <w:rsid w:val="574F24F7"/>
    <w:rsid w:val="5778511F"/>
    <w:rsid w:val="57FB7AFE"/>
    <w:rsid w:val="58861A98"/>
    <w:rsid w:val="59B9334F"/>
    <w:rsid w:val="5CF55F09"/>
    <w:rsid w:val="5D016A57"/>
    <w:rsid w:val="61970CBD"/>
    <w:rsid w:val="6277231B"/>
    <w:rsid w:val="67EA245A"/>
    <w:rsid w:val="6A1747E9"/>
    <w:rsid w:val="6AA656B2"/>
    <w:rsid w:val="6B1F2BEB"/>
    <w:rsid w:val="6C1D2A88"/>
    <w:rsid w:val="73393CDE"/>
    <w:rsid w:val="73946B2F"/>
    <w:rsid w:val="73A65012"/>
    <w:rsid w:val="745A1190"/>
    <w:rsid w:val="79B14A6B"/>
    <w:rsid w:val="7A126C95"/>
    <w:rsid w:val="7AD41B58"/>
    <w:rsid w:val="7B3D355C"/>
    <w:rsid w:val="7B4927AB"/>
    <w:rsid w:val="7E33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21A45"/>
  <w15:docId w15:val="{B1EDA454-A68C-4938-9FF2-7B004542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7"/>
    <w:qFormat/>
    <w:rPr>
      <w:rFonts w:ascii="宋体"/>
      <w:sz w:val="21"/>
    </w:rPr>
  </w:style>
  <w:style w:type="paragraph" w:customStyle="1" w:styleId="a7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1257</Words>
  <Characters>1522</Characters>
  <Application>Microsoft Office Word</Application>
  <DocSecurity>0</DocSecurity>
  <Lines>108</Lines>
  <Paragraphs>138</Paragraphs>
  <ScaleCrop>false</ScaleCrop>
  <Company>微软中国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晓辉 李</cp:lastModifiedBy>
  <cp:revision>3</cp:revision>
  <dcterms:created xsi:type="dcterms:W3CDTF">2025-03-05T01:41:00Z</dcterms:created>
  <dcterms:modified xsi:type="dcterms:W3CDTF">2025-03-28T09:16:00Z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DA6687DCAABD463DA4C75B8D2AED10D0_13</vt:lpwstr>
  </property>
  <property fmtid="{D5CDD505-2E9C-101B-9397-08002B2CF9AE}" pid="4" name="KSOTemplateDocerSaveRecord">
    <vt:lpwstr>eyJoZGlkIjoiZGM3MzZiYWVlNGMwOTI1MGYzN2NiODE3ODZlYjhjZjAiLCJ1c2VySWQiOiIzODYyNDQ5NjkifQ==</vt:lpwstr>
  </property>
</Properties>
</file>